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B5" w:rsidRDefault="001E0BA2">
      <w:pPr>
        <w:rPr>
          <w:rFonts w:ascii="Times New Roman" w:hAnsi="Times New Roman" w:cs="Times New Roman"/>
          <w:b/>
          <w:sz w:val="32"/>
          <w:szCs w:val="32"/>
        </w:rPr>
      </w:pPr>
      <w:r>
        <w:rPr>
          <w:rFonts w:ascii="Times New Roman" w:hAnsi="Times New Roman" w:cs="Times New Roman"/>
          <w:b/>
          <w:sz w:val="32"/>
          <w:szCs w:val="32"/>
        </w:rPr>
        <w:t>Annual review</w:t>
      </w:r>
      <w:r w:rsidR="004549B5">
        <w:rPr>
          <w:rFonts w:ascii="Times New Roman" w:hAnsi="Times New Roman" w:cs="Times New Roman"/>
          <w:b/>
          <w:sz w:val="32"/>
          <w:szCs w:val="32"/>
        </w:rPr>
        <w:t xml:space="preserve">: </w:t>
      </w:r>
      <w:r w:rsidR="004549B5" w:rsidRPr="004549B5">
        <w:rPr>
          <w:rFonts w:ascii="Times New Roman" w:hAnsi="Times New Roman" w:cs="Times New Roman"/>
          <w:b/>
          <w:sz w:val="32"/>
          <w:szCs w:val="32"/>
        </w:rPr>
        <w:t>European healthcare a success story!</w:t>
      </w:r>
    </w:p>
    <w:p w:rsidR="00F13332" w:rsidRPr="00533A2B" w:rsidRDefault="00A403AF">
      <w:pPr>
        <w:rPr>
          <w:rFonts w:ascii="Times New Roman" w:hAnsi="Times New Roman" w:cs="Times New Roman"/>
          <w:sz w:val="24"/>
          <w:szCs w:val="24"/>
        </w:rPr>
      </w:pPr>
      <w:r>
        <w:rPr>
          <w:rFonts w:ascii="Times New Roman" w:hAnsi="Times New Roman" w:cs="Times New Roman"/>
          <w:sz w:val="24"/>
          <w:szCs w:val="24"/>
        </w:rPr>
        <w:t xml:space="preserve">(Stockholm, January 26, 2016) </w:t>
      </w:r>
      <w:r w:rsidR="00F13332" w:rsidRPr="00533A2B">
        <w:rPr>
          <w:rFonts w:ascii="Times New Roman" w:hAnsi="Times New Roman" w:cs="Times New Roman"/>
          <w:sz w:val="24"/>
          <w:szCs w:val="24"/>
        </w:rPr>
        <w:t xml:space="preserve">European healthcare is steadily improving, in spite of alarm bells about financial crisis austerity measures, aging population and migration turmoil. Survival rates of heart disease, stroke and cancer are all increasing. Infant mortality, perhaps the most descriptive single indicator, keeps going down. This is a main conclusion from the </w:t>
      </w:r>
      <w:r w:rsidR="00F13332" w:rsidRPr="001E0BA2">
        <w:rPr>
          <w:rFonts w:ascii="Times New Roman" w:hAnsi="Times New Roman" w:cs="Times New Roman"/>
          <w:b/>
          <w:i/>
          <w:sz w:val="24"/>
          <w:szCs w:val="24"/>
        </w:rPr>
        <w:t>2015 Euro Health Consumer Index (EHCI</w:t>
      </w:r>
      <w:r w:rsidR="00F13332" w:rsidRPr="00533A2B">
        <w:rPr>
          <w:rFonts w:ascii="Times New Roman" w:hAnsi="Times New Roman" w:cs="Times New Roman"/>
          <w:sz w:val="24"/>
          <w:szCs w:val="24"/>
        </w:rPr>
        <w:t xml:space="preserve">), published today by the </w:t>
      </w:r>
      <w:r w:rsidR="00F13332" w:rsidRPr="001E0BA2">
        <w:rPr>
          <w:rFonts w:ascii="Times New Roman" w:hAnsi="Times New Roman" w:cs="Times New Roman"/>
          <w:b/>
          <w:sz w:val="24"/>
          <w:szCs w:val="24"/>
        </w:rPr>
        <w:t>H</w:t>
      </w:r>
      <w:r w:rsidR="00533A2B" w:rsidRPr="001E0BA2">
        <w:rPr>
          <w:rFonts w:ascii="Times New Roman" w:hAnsi="Times New Roman" w:cs="Times New Roman"/>
          <w:b/>
          <w:sz w:val="24"/>
          <w:szCs w:val="24"/>
        </w:rPr>
        <w:t>ealth Cons</w:t>
      </w:r>
      <w:r w:rsidR="00F13332" w:rsidRPr="001E0BA2">
        <w:rPr>
          <w:rFonts w:ascii="Times New Roman" w:hAnsi="Times New Roman" w:cs="Times New Roman"/>
          <w:b/>
          <w:sz w:val="24"/>
          <w:szCs w:val="24"/>
        </w:rPr>
        <w:t>umer Powerhouse (HCP) Ltd</w:t>
      </w:r>
      <w:r w:rsidR="00F13332" w:rsidRPr="00533A2B">
        <w:rPr>
          <w:rFonts w:ascii="Times New Roman" w:hAnsi="Times New Roman" w:cs="Times New Roman"/>
          <w:sz w:val="24"/>
          <w:szCs w:val="24"/>
        </w:rPr>
        <w:t xml:space="preserve">. </w:t>
      </w:r>
      <w:r w:rsidR="00533A2B" w:rsidRPr="00533A2B">
        <w:rPr>
          <w:rFonts w:ascii="Times New Roman" w:hAnsi="Times New Roman" w:cs="Times New Roman"/>
          <w:sz w:val="24"/>
          <w:szCs w:val="24"/>
        </w:rPr>
        <w:t>The EHCI, started in 2005, is the leading comparison for assessing the performance of national healthcare systems in 35 countries.</w:t>
      </w:r>
    </w:p>
    <w:p w:rsidR="00F13332" w:rsidRPr="00E9726D" w:rsidRDefault="00E9726D">
      <w:pPr>
        <w:rPr>
          <w:rFonts w:ascii="Times New Roman" w:hAnsi="Times New Roman" w:cs="Times New Roman"/>
          <w:sz w:val="24"/>
          <w:szCs w:val="24"/>
        </w:rPr>
      </w:pPr>
      <w:r w:rsidRPr="00E9726D">
        <w:rPr>
          <w:rFonts w:ascii="Times New Roman" w:hAnsi="Times New Roman" w:cs="Times New Roman"/>
          <w:sz w:val="24"/>
          <w:szCs w:val="24"/>
        </w:rPr>
        <w:t>The EHCI anal</w:t>
      </w:r>
      <w:r w:rsidR="00591601">
        <w:rPr>
          <w:rFonts w:ascii="Times New Roman" w:hAnsi="Times New Roman" w:cs="Times New Roman"/>
          <w:sz w:val="24"/>
          <w:szCs w:val="24"/>
        </w:rPr>
        <w:t xml:space="preserve">yses national healthcare </w:t>
      </w:r>
      <w:r w:rsidR="00E40EF8">
        <w:rPr>
          <w:rFonts w:ascii="Times New Roman" w:hAnsi="Times New Roman" w:cs="Times New Roman"/>
          <w:sz w:val="24"/>
          <w:szCs w:val="24"/>
        </w:rPr>
        <w:t>on</w:t>
      </w:r>
      <w:r w:rsidR="00591601">
        <w:rPr>
          <w:rFonts w:ascii="Times New Roman" w:hAnsi="Times New Roman" w:cs="Times New Roman"/>
          <w:sz w:val="24"/>
          <w:szCs w:val="24"/>
        </w:rPr>
        <w:t xml:space="preserve"> 48</w:t>
      </w:r>
      <w:r w:rsidRPr="00E9726D">
        <w:rPr>
          <w:rFonts w:ascii="Times New Roman" w:hAnsi="Times New Roman" w:cs="Times New Roman"/>
          <w:sz w:val="24"/>
          <w:szCs w:val="24"/>
        </w:rPr>
        <w:t xml:space="preserve"> indicators, looking into </w:t>
      </w:r>
      <w:r w:rsidR="00591601">
        <w:rPr>
          <w:rFonts w:ascii="Times New Roman" w:hAnsi="Times New Roman" w:cs="Times New Roman"/>
          <w:sz w:val="24"/>
          <w:szCs w:val="24"/>
        </w:rPr>
        <w:t xml:space="preserve">areas such as </w:t>
      </w:r>
      <w:r w:rsidR="00E40EF8">
        <w:rPr>
          <w:rFonts w:ascii="Times New Roman" w:hAnsi="Times New Roman" w:cs="Times New Roman"/>
          <w:sz w:val="24"/>
          <w:szCs w:val="24"/>
        </w:rPr>
        <w:t>Patient R</w:t>
      </w:r>
      <w:r w:rsidR="0016308C">
        <w:rPr>
          <w:rFonts w:ascii="Times New Roman" w:hAnsi="Times New Roman" w:cs="Times New Roman"/>
          <w:sz w:val="24"/>
          <w:szCs w:val="24"/>
        </w:rPr>
        <w:t>i</w:t>
      </w:r>
      <w:r w:rsidR="00E40EF8">
        <w:rPr>
          <w:rFonts w:ascii="Times New Roman" w:hAnsi="Times New Roman" w:cs="Times New Roman"/>
          <w:sz w:val="24"/>
          <w:szCs w:val="24"/>
        </w:rPr>
        <w:t>ghts and I</w:t>
      </w:r>
      <w:r w:rsidRPr="00E9726D">
        <w:rPr>
          <w:rFonts w:ascii="Times New Roman" w:hAnsi="Times New Roman" w:cs="Times New Roman"/>
          <w:sz w:val="24"/>
          <w:szCs w:val="24"/>
        </w:rPr>
        <w:t xml:space="preserve">nformation, </w:t>
      </w:r>
      <w:r w:rsidR="00E40EF8">
        <w:rPr>
          <w:rFonts w:ascii="Times New Roman" w:hAnsi="Times New Roman" w:cs="Times New Roman"/>
          <w:sz w:val="24"/>
          <w:szCs w:val="24"/>
        </w:rPr>
        <w:t>Access to Care, Treatment Outcomes, Range and Reach of Services, P</w:t>
      </w:r>
      <w:r>
        <w:rPr>
          <w:rFonts w:ascii="Times New Roman" w:hAnsi="Times New Roman" w:cs="Times New Roman"/>
          <w:sz w:val="24"/>
          <w:szCs w:val="24"/>
        </w:rPr>
        <w:t>revention and</w:t>
      </w:r>
      <w:r w:rsidR="00E40EF8">
        <w:rPr>
          <w:rFonts w:ascii="Times New Roman" w:hAnsi="Times New Roman" w:cs="Times New Roman"/>
          <w:sz w:val="24"/>
          <w:szCs w:val="24"/>
        </w:rPr>
        <w:t xml:space="preserve"> use of P</w:t>
      </w:r>
      <w:r>
        <w:rPr>
          <w:rFonts w:ascii="Times New Roman" w:hAnsi="Times New Roman" w:cs="Times New Roman"/>
          <w:sz w:val="24"/>
          <w:szCs w:val="24"/>
        </w:rPr>
        <w:t>harmaceuticals. The new Ind</w:t>
      </w:r>
      <w:r w:rsidR="00E40EF8">
        <w:rPr>
          <w:rFonts w:ascii="Times New Roman" w:hAnsi="Times New Roman" w:cs="Times New Roman"/>
          <w:sz w:val="24"/>
          <w:szCs w:val="24"/>
        </w:rPr>
        <w:t>ex ranks the countries</w:t>
      </w:r>
      <w:r>
        <w:rPr>
          <w:rFonts w:ascii="Times New Roman" w:hAnsi="Times New Roman" w:cs="Times New Roman"/>
          <w:sz w:val="24"/>
          <w:szCs w:val="24"/>
        </w:rPr>
        <w:t>:</w:t>
      </w:r>
    </w:p>
    <w:p w:rsidR="00177D52" w:rsidRDefault="00F2528E" w:rsidP="00F2528E">
      <w:pPr>
        <w:pStyle w:val="BodyText"/>
        <w:jc w:val="center"/>
      </w:pPr>
      <w:r w:rsidRPr="00F2528E">
        <w:drawing>
          <wp:inline distT="0" distB="0" distL="0" distR="0" wp14:anchorId="077D55A8" wp14:editId="6E819D7F">
            <wp:extent cx="5943600" cy="4014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014470"/>
                    </a:xfrm>
                    <a:prstGeom prst="rect">
                      <a:avLst/>
                    </a:prstGeom>
                  </pic:spPr>
                </pic:pic>
              </a:graphicData>
            </a:graphic>
          </wp:inline>
        </w:drawing>
      </w:r>
      <w:bookmarkStart w:id="0" w:name="_GoBack"/>
      <w:bookmarkEnd w:id="0"/>
    </w:p>
    <w:p w:rsidR="00441ACF" w:rsidRDefault="00441ACF" w:rsidP="00177D52">
      <w:pPr>
        <w:pStyle w:val="BodyText"/>
      </w:pPr>
    </w:p>
    <w:p w:rsidR="00441ACF" w:rsidRPr="00441ACF" w:rsidRDefault="00591601" w:rsidP="0092031A">
      <w:pPr>
        <w:pStyle w:val="BodyText"/>
        <w:spacing w:line="276" w:lineRule="auto"/>
        <w:rPr>
          <w:rFonts w:ascii="Times New Roman" w:hAnsi="Times New Roman" w:cs="Times New Roman"/>
          <w:sz w:val="24"/>
        </w:rPr>
      </w:pPr>
      <w:r>
        <w:rPr>
          <w:rFonts w:ascii="Times New Roman" w:hAnsi="Times New Roman" w:cs="Times New Roman"/>
          <w:sz w:val="24"/>
        </w:rPr>
        <w:t>Eight</w:t>
      </w:r>
      <w:r w:rsidR="00441ACF" w:rsidRPr="00441ACF">
        <w:rPr>
          <w:rFonts w:ascii="Times New Roman" w:hAnsi="Times New Roman" w:cs="Times New Roman"/>
          <w:sz w:val="24"/>
        </w:rPr>
        <w:t xml:space="preserve"> countries, all Western European, are scoring above 800 points of the maximum 1000. These are followed at some little distance by four other affluent countries (Denmark, Sweden, France and Austria) “not quite making it” for different reasons. The first CEE country, the Czech Republic, is closing in, now only 14 points behind Austria.</w:t>
      </w:r>
      <w:r w:rsidR="00441ACF">
        <w:rPr>
          <w:rFonts w:ascii="Times New Roman" w:hAnsi="Times New Roman" w:cs="Times New Roman"/>
          <w:sz w:val="24"/>
        </w:rPr>
        <w:t xml:space="preserve"> The Netherland stays the European Champion and the only country reaching above the 900 points level.</w:t>
      </w:r>
    </w:p>
    <w:p w:rsidR="00441ACF" w:rsidRPr="00F31444" w:rsidRDefault="00441ACF" w:rsidP="00177D52">
      <w:pPr>
        <w:pStyle w:val="BodyText"/>
        <w:rPr>
          <w:rFonts w:ascii="Times New Roman" w:hAnsi="Times New Roman" w:cs="Times New Roman"/>
          <w:sz w:val="24"/>
        </w:rPr>
      </w:pPr>
    </w:p>
    <w:p w:rsidR="00C41FE9" w:rsidRPr="00C41FE9" w:rsidRDefault="00C41FE9" w:rsidP="00471CAF">
      <w:pPr>
        <w:pStyle w:val="BodyText"/>
        <w:rPr>
          <w:rFonts w:ascii="Times New Roman" w:hAnsi="Times New Roman" w:cs="Times New Roman"/>
          <w:b/>
          <w:sz w:val="24"/>
        </w:rPr>
      </w:pPr>
      <w:r w:rsidRPr="00C41FE9">
        <w:rPr>
          <w:rFonts w:ascii="Times New Roman" w:hAnsi="Times New Roman" w:cs="Times New Roman"/>
          <w:b/>
          <w:sz w:val="24"/>
        </w:rPr>
        <w:t>Closing equity gap?</w:t>
      </w:r>
    </w:p>
    <w:p w:rsidR="00D6415D" w:rsidRPr="00D6415D" w:rsidRDefault="00E40EF8" w:rsidP="00E40EF8">
      <w:pPr>
        <w:pStyle w:val="BodyText"/>
        <w:spacing w:line="276" w:lineRule="auto"/>
        <w:ind w:left="142" w:hanging="142"/>
        <w:rPr>
          <w:rFonts w:ascii="Times New Roman" w:hAnsi="Times New Roman" w:cs="Times New Roman"/>
          <w:color w:val="auto"/>
          <w:sz w:val="24"/>
        </w:rPr>
      </w:pPr>
      <w:r>
        <w:rPr>
          <w:rFonts w:ascii="Times New Roman" w:hAnsi="Times New Roman" w:cs="Times New Roman"/>
          <w:sz w:val="24"/>
        </w:rPr>
        <w:lastRenderedPageBreak/>
        <w:t xml:space="preserve">– </w:t>
      </w:r>
      <w:r w:rsidR="00177D52" w:rsidRPr="00F31444">
        <w:rPr>
          <w:rFonts w:ascii="Times New Roman" w:hAnsi="Times New Roman" w:cs="Times New Roman"/>
          <w:sz w:val="24"/>
        </w:rPr>
        <w:t>The increasing equity gap between wealthy and less wealthy European countries, noted in the EHCI 2013</w:t>
      </w:r>
      <w:r w:rsidR="00F31444">
        <w:rPr>
          <w:rFonts w:ascii="Times New Roman" w:hAnsi="Times New Roman" w:cs="Times New Roman"/>
          <w:sz w:val="24"/>
        </w:rPr>
        <w:t xml:space="preserve"> </w:t>
      </w:r>
      <w:r w:rsidR="00177D52" w:rsidRPr="00F31444">
        <w:rPr>
          <w:rFonts w:ascii="Times New Roman" w:hAnsi="Times New Roman" w:cs="Times New Roman"/>
          <w:sz w:val="24"/>
        </w:rPr>
        <w:t>and 2014, shows signs of closing again in the 2015 edition</w:t>
      </w:r>
      <w:r w:rsidR="0092031A">
        <w:rPr>
          <w:rFonts w:ascii="Times New Roman" w:hAnsi="Times New Roman" w:cs="Times New Roman"/>
          <w:sz w:val="24"/>
        </w:rPr>
        <w:t>, explains Profe</w:t>
      </w:r>
      <w:r>
        <w:rPr>
          <w:rFonts w:ascii="Times New Roman" w:hAnsi="Times New Roman" w:cs="Times New Roman"/>
          <w:sz w:val="24"/>
        </w:rPr>
        <w:t>ssor Arne Bjornberg, head of</w:t>
      </w:r>
      <w:r w:rsidR="0092031A">
        <w:rPr>
          <w:rFonts w:ascii="Times New Roman" w:hAnsi="Times New Roman" w:cs="Times New Roman"/>
          <w:sz w:val="24"/>
        </w:rPr>
        <w:t xml:space="preserve"> HCP Index research</w:t>
      </w:r>
      <w:r w:rsidR="00177D52" w:rsidRPr="00F31444">
        <w:rPr>
          <w:rFonts w:ascii="Times New Roman" w:hAnsi="Times New Roman" w:cs="Times New Roman"/>
          <w:sz w:val="24"/>
        </w:rPr>
        <w:t>.</w:t>
      </w:r>
      <w:r w:rsidR="00F31444">
        <w:rPr>
          <w:rFonts w:ascii="Times New Roman" w:hAnsi="Times New Roman" w:cs="Times New Roman"/>
          <w:sz w:val="24"/>
        </w:rPr>
        <w:t xml:space="preserve"> The eight</w:t>
      </w:r>
      <w:r w:rsidR="00177D52" w:rsidRPr="00F31444">
        <w:rPr>
          <w:rFonts w:ascii="Times New Roman" w:hAnsi="Times New Roman" w:cs="Times New Roman"/>
          <w:sz w:val="24"/>
        </w:rPr>
        <w:t xml:space="preserve"> least affluent countries gain on average 32 score points between 2014 and 2015</w:t>
      </w:r>
      <w:r w:rsidR="00177D52" w:rsidRPr="00F31444">
        <w:rPr>
          <w:rFonts w:ascii="Times New Roman" w:hAnsi="Times New Roman" w:cs="Times New Roman"/>
          <w:color w:val="FF0000"/>
          <w:sz w:val="24"/>
        </w:rPr>
        <w:t>.</w:t>
      </w:r>
      <w:r w:rsidR="00F31444">
        <w:rPr>
          <w:rFonts w:ascii="Times New Roman" w:hAnsi="Times New Roman" w:cs="Times New Roman"/>
          <w:color w:val="FF0000"/>
          <w:sz w:val="24"/>
        </w:rPr>
        <w:t xml:space="preserve"> </w:t>
      </w:r>
      <w:r w:rsidR="00F31444" w:rsidRPr="00F31444">
        <w:rPr>
          <w:rFonts w:ascii="Times New Roman" w:hAnsi="Times New Roman" w:cs="Times New Roman"/>
          <w:color w:val="auto"/>
          <w:sz w:val="24"/>
        </w:rPr>
        <w:t>One explanation can be that most of the countries at the lower end of the ran</w:t>
      </w:r>
      <w:r>
        <w:rPr>
          <w:rFonts w:ascii="Times New Roman" w:hAnsi="Times New Roman" w:cs="Times New Roman"/>
          <w:color w:val="auto"/>
          <w:sz w:val="24"/>
        </w:rPr>
        <w:t>k have</w:t>
      </w:r>
      <w:r w:rsidR="00A058F1">
        <w:rPr>
          <w:rFonts w:ascii="Times New Roman" w:hAnsi="Times New Roman" w:cs="Times New Roman"/>
          <w:color w:val="auto"/>
          <w:sz w:val="24"/>
        </w:rPr>
        <w:t xml:space="preserve"> improved speed and accuracy of </w:t>
      </w:r>
      <w:r w:rsidR="00F31444" w:rsidRPr="00F31444">
        <w:rPr>
          <w:rFonts w:ascii="Times New Roman" w:hAnsi="Times New Roman" w:cs="Times New Roman"/>
          <w:color w:val="auto"/>
          <w:sz w:val="24"/>
        </w:rPr>
        <w:t>healthcare data</w:t>
      </w:r>
      <w:r w:rsidR="00A058F1">
        <w:rPr>
          <w:rFonts w:ascii="Times New Roman" w:hAnsi="Times New Roman" w:cs="Times New Roman"/>
          <w:color w:val="auto"/>
          <w:sz w:val="24"/>
        </w:rPr>
        <w:t xml:space="preserve"> reporting</w:t>
      </w:r>
      <w:r w:rsidR="00F31444" w:rsidRPr="00F31444">
        <w:rPr>
          <w:rFonts w:ascii="Times New Roman" w:hAnsi="Times New Roman" w:cs="Times New Roman"/>
          <w:color w:val="auto"/>
          <w:sz w:val="24"/>
        </w:rPr>
        <w:t>.</w:t>
      </w:r>
      <w:r w:rsidR="00A058F1">
        <w:rPr>
          <w:rFonts w:ascii="Times New Roman" w:hAnsi="Times New Roman" w:cs="Times New Roman"/>
          <w:color w:val="auto"/>
          <w:sz w:val="24"/>
        </w:rPr>
        <w:t xml:space="preserve"> </w:t>
      </w:r>
      <w:r w:rsidR="00C41FE9">
        <w:rPr>
          <w:rFonts w:ascii="Times New Roman" w:hAnsi="Times New Roman" w:cs="Times New Roman"/>
          <w:color w:val="auto"/>
          <w:sz w:val="24"/>
        </w:rPr>
        <w:t>A new trend? That remains to be seen.</w:t>
      </w:r>
    </w:p>
    <w:p w:rsidR="00471CAF" w:rsidRPr="00471CAF" w:rsidRDefault="00471CAF" w:rsidP="0092031A">
      <w:pPr>
        <w:pStyle w:val="BodyText"/>
        <w:spacing w:line="276" w:lineRule="auto"/>
        <w:rPr>
          <w:rFonts w:ascii="Times New Roman" w:hAnsi="Times New Roman" w:cs="Times New Roman"/>
          <w:color w:val="auto"/>
          <w:sz w:val="24"/>
        </w:rPr>
      </w:pPr>
      <w:r w:rsidRPr="00471CAF">
        <w:rPr>
          <w:rFonts w:ascii="Times New Roman" w:hAnsi="Times New Roman" w:cs="Times New Roman"/>
          <w:sz w:val="24"/>
        </w:rPr>
        <w:t>Indicators such as Cancer Survival or Infant Mortality keep showing improvement over time.</w:t>
      </w:r>
      <w:r>
        <w:t xml:space="preserve"> </w:t>
      </w:r>
      <w:r w:rsidRPr="00471CAF">
        <w:rPr>
          <w:rFonts w:ascii="Times New Roman" w:hAnsi="Times New Roman" w:cs="Times New Roman"/>
          <w:sz w:val="24"/>
        </w:rPr>
        <w:t>This is true also for countries such as the Baltic states, which have undergone a financial “steel bath”, in every way comparable with that hit southern Europe or Ireland. As an example, both Latvia and Lithuania have shown remarkable improvement in Infant Mortality right during the period of the worst austerity measures.</w:t>
      </w:r>
    </w:p>
    <w:p w:rsidR="00177D52" w:rsidRDefault="00471CAF">
      <w:pPr>
        <w:rPr>
          <w:rFonts w:ascii="Times New Roman" w:hAnsi="Times New Roman" w:cs="Times New Roman"/>
          <w:b/>
          <w:sz w:val="32"/>
          <w:szCs w:val="32"/>
          <w:lang w:val="en-GB"/>
        </w:rPr>
      </w:pPr>
      <w:r w:rsidRPr="00471CAF">
        <w:rPr>
          <w:rFonts w:ascii="Times New Roman" w:hAnsi="Times New Roman" w:cs="Times New Roman"/>
          <w:b/>
          <w:noProof/>
          <w:sz w:val="32"/>
          <w:szCs w:val="32"/>
          <w:lang w:val="sv-SE" w:eastAsia="sv-SE"/>
        </w:rPr>
        <w:drawing>
          <wp:inline distT="0" distB="0" distL="0" distR="0">
            <wp:extent cx="5488940" cy="3507740"/>
            <wp:effectExtent l="0" t="0" r="0" b="0"/>
            <wp:docPr id="3" name="Bildobjekt 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88940" cy="3507740"/>
                    </a:xfrm>
                    <a:prstGeom prst="rect">
                      <a:avLst/>
                    </a:prstGeom>
                  </pic:spPr>
                </pic:pic>
              </a:graphicData>
            </a:graphic>
          </wp:inline>
        </w:drawing>
      </w:r>
    </w:p>
    <w:p w:rsidR="00ED3B2E" w:rsidRPr="00EC1AEA" w:rsidRDefault="001811EA" w:rsidP="0092031A">
      <w:pPr>
        <w:pStyle w:val="BodyText"/>
        <w:spacing w:line="276" w:lineRule="auto"/>
      </w:pPr>
      <w:r w:rsidRPr="00ED3B2E">
        <w:rPr>
          <w:rFonts w:ascii="Times New Roman" w:hAnsi="Times New Roman" w:cs="Times New Roman"/>
          <w:sz w:val="24"/>
        </w:rPr>
        <w:t>In 20</w:t>
      </w:r>
      <w:r w:rsidR="00ED3B2E" w:rsidRPr="00ED3B2E">
        <w:rPr>
          <w:rFonts w:ascii="Times New Roman" w:hAnsi="Times New Roman" w:cs="Times New Roman"/>
          <w:sz w:val="24"/>
        </w:rPr>
        <w:t>06, only five</w:t>
      </w:r>
      <w:r w:rsidRPr="00ED3B2E">
        <w:rPr>
          <w:rFonts w:ascii="Times New Roman" w:hAnsi="Times New Roman" w:cs="Times New Roman"/>
          <w:sz w:val="24"/>
        </w:rPr>
        <w:t xml:space="preserve"> countries scored green on Infant mortality compared to </w:t>
      </w:r>
      <w:r w:rsidR="00ED3B2E" w:rsidRPr="00ED3B2E">
        <w:rPr>
          <w:rFonts w:ascii="Times New Roman" w:hAnsi="Times New Roman" w:cs="Times New Roman"/>
          <w:sz w:val="24"/>
        </w:rPr>
        <w:t>no less than 23 in 2015, with only three countries still scoring Red.</w:t>
      </w:r>
      <w:r w:rsidR="00B66C56">
        <w:rPr>
          <w:rFonts w:ascii="Times New Roman" w:hAnsi="Times New Roman" w:cs="Times New Roman"/>
          <w:sz w:val="24"/>
        </w:rPr>
        <w:t xml:space="preserve"> </w:t>
      </w:r>
      <w:r w:rsidR="00EC1AEA" w:rsidRPr="00EC1AEA">
        <w:rPr>
          <w:rFonts w:ascii="Times New Roman" w:hAnsi="Times New Roman" w:cs="Times New Roman"/>
          <w:sz w:val="24"/>
        </w:rPr>
        <w:t>The co</w:t>
      </w:r>
      <w:r w:rsidR="00EC1AEA">
        <w:rPr>
          <w:rFonts w:ascii="Times New Roman" w:hAnsi="Times New Roman" w:cs="Times New Roman"/>
          <w:sz w:val="24"/>
        </w:rPr>
        <w:t>untry average keeps dropping</w:t>
      </w:r>
      <w:r w:rsidR="00EC1AEA" w:rsidRPr="00EC1AEA">
        <w:rPr>
          <w:rFonts w:ascii="Times New Roman" w:hAnsi="Times New Roman" w:cs="Times New Roman"/>
          <w:sz w:val="24"/>
        </w:rPr>
        <w:t>: from 4.49 in EHCI 2012, to 4.01 in 2015.</w:t>
      </w:r>
      <w:r w:rsidR="00EC1AEA">
        <w:rPr>
          <w:rFonts w:ascii="Times New Roman" w:hAnsi="Times New Roman" w:cs="Times New Roman"/>
          <w:sz w:val="24"/>
        </w:rPr>
        <w:t xml:space="preserve"> </w:t>
      </w:r>
      <w:r w:rsidR="00B66C56">
        <w:rPr>
          <w:rFonts w:ascii="Times New Roman" w:hAnsi="Times New Roman" w:cs="Times New Roman"/>
          <w:sz w:val="24"/>
        </w:rPr>
        <w:t>A silent, lifesaving revolution!</w:t>
      </w:r>
    </w:p>
    <w:p w:rsidR="0092031A" w:rsidRDefault="0092031A" w:rsidP="00ED3B2E">
      <w:pPr>
        <w:rPr>
          <w:rFonts w:ascii="Times New Roman" w:hAnsi="Times New Roman" w:cs="Times New Roman"/>
          <w:b/>
          <w:sz w:val="24"/>
          <w:szCs w:val="24"/>
        </w:rPr>
      </w:pPr>
    </w:p>
    <w:p w:rsidR="0092031A" w:rsidRDefault="0092031A" w:rsidP="00ED3B2E">
      <w:pPr>
        <w:rPr>
          <w:rFonts w:ascii="Times New Roman" w:hAnsi="Times New Roman" w:cs="Times New Roman"/>
          <w:b/>
          <w:sz w:val="24"/>
          <w:szCs w:val="24"/>
        </w:rPr>
      </w:pPr>
    </w:p>
    <w:p w:rsidR="00C41FE9" w:rsidRPr="00C41FE9" w:rsidRDefault="00C41FE9" w:rsidP="00ED3B2E">
      <w:pPr>
        <w:rPr>
          <w:rFonts w:ascii="Times New Roman" w:hAnsi="Times New Roman" w:cs="Times New Roman"/>
          <w:b/>
          <w:sz w:val="24"/>
          <w:szCs w:val="24"/>
        </w:rPr>
      </w:pPr>
      <w:r w:rsidRPr="00C41FE9">
        <w:rPr>
          <w:rFonts w:ascii="Times New Roman" w:hAnsi="Times New Roman" w:cs="Times New Roman"/>
          <w:b/>
          <w:sz w:val="24"/>
          <w:szCs w:val="24"/>
        </w:rPr>
        <w:t>These are the top country skills</w:t>
      </w:r>
    </w:p>
    <w:p w:rsidR="00BE3597" w:rsidRPr="00ED3B2E" w:rsidRDefault="00405A44" w:rsidP="00ED3B2E">
      <w:pPr>
        <w:rPr>
          <w:rFonts w:ascii="Times New Roman" w:hAnsi="Times New Roman" w:cs="Times New Roman"/>
          <w:sz w:val="24"/>
          <w:szCs w:val="24"/>
        </w:rPr>
      </w:pPr>
      <w:r>
        <w:rPr>
          <w:rFonts w:ascii="Times New Roman" w:hAnsi="Times New Roman" w:cs="Times New Roman"/>
          <w:sz w:val="24"/>
          <w:szCs w:val="24"/>
        </w:rPr>
        <w:t xml:space="preserve">Few countries show excellence in every part of healthcare. Below the "performance profile" of the top score national health systems: </w:t>
      </w:r>
    </w:p>
    <w:tbl>
      <w:tblPr>
        <w:tblW w:w="0" w:type="auto"/>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3671"/>
        <w:gridCol w:w="2379"/>
        <w:gridCol w:w="1040"/>
        <w:gridCol w:w="1687"/>
      </w:tblGrid>
      <w:tr w:rsidR="00BE3597" w:rsidRPr="007D60D8" w:rsidTr="00E40EF8">
        <w:trPr>
          <w:trHeight w:val="255"/>
        </w:trPr>
        <w:tc>
          <w:tcPr>
            <w:tcW w:w="3671" w:type="dxa"/>
            <w:tcBorders>
              <w:top w:val="single" w:sz="12" w:space="0" w:color="000000"/>
              <w:bottom w:val="single" w:sz="12" w:space="0" w:color="000000"/>
            </w:tcBorders>
            <w:vAlign w:val="center"/>
          </w:tcPr>
          <w:p w:rsidR="00BE3597" w:rsidRPr="007D60D8" w:rsidRDefault="00BE3597" w:rsidP="0092031A">
            <w:pPr>
              <w:pStyle w:val="BodyText"/>
              <w:jc w:val="left"/>
              <w:rPr>
                <w:rFonts w:cs="Times New Roman"/>
                <w:b/>
                <w:color w:val="auto"/>
                <w:sz w:val="18"/>
                <w:szCs w:val="20"/>
              </w:rPr>
            </w:pPr>
            <w:r>
              <w:rPr>
                <w:rFonts w:cs="Times New Roman"/>
                <w:b/>
                <w:color w:val="auto"/>
                <w:szCs w:val="20"/>
              </w:rPr>
              <w:lastRenderedPageBreak/>
              <w:t>Top</w:t>
            </w:r>
            <w:r w:rsidRPr="007D60D8">
              <w:rPr>
                <w:rFonts w:cs="Times New Roman"/>
                <w:b/>
                <w:color w:val="auto"/>
                <w:szCs w:val="20"/>
              </w:rPr>
              <w:t xml:space="preserve"> country/countries</w:t>
            </w:r>
          </w:p>
        </w:tc>
        <w:tc>
          <w:tcPr>
            <w:tcW w:w="2379" w:type="dxa"/>
            <w:tcBorders>
              <w:top w:val="single" w:sz="12" w:space="0" w:color="000000"/>
              <w:bottom w:val="single" w:sz="12" w:space="0" w:color="000000"/>
            </w:tcBorders>
            <w:vAlign w:val="center"/>
          </w:tcPr>
          <w:p w:rsidR="00BE3597" w:rsidRPr="007D60D8" w:rsidRDefault="00BE3597" w:rsidP="0092031A">
            <w:pPr>
              <w:rPr>
                <w:rFonts w:cs="Times New Roman"/>
                <w:b/>
                <w:bCs/>
                <w:sz w:val="16"/>
                <w:szCs w:val="36"/>
              </w:rPr>
            </w:pPr>
            <w:r w:rsidRPr="007D60D8">
              <w:rPr>
                <w:rFonts w:cs="Times New Roman"/>
                <w:b/>
                <w:bCs/>
                <w:szCs w:val="36"/>
              </w:rPr>
              <w:t>Sub-discipline</w:t>
            </w:r>
          </w:p>
        </w:tc>
        <w:tc>
          <w:tcPr>
            <w:tcW w:w="1040" w:type="dxa"/>
            <w:tcBorders>
              <w:top w:val="single" w:sz="12" w:space="0" w:color="000000"/>
              <w:bottom w:val="single" w:sz="12" w:space="0" w:color="000000"/>
            </w:tcBorders>
            <w:vAlign w:val="center"/>
          </w:tcPr>
          <w:p w:rsidR="00BE3597" w:rsidRPr="007D60D8" w:rsidRDefault="00BE3597" w:rsidP="0092031A">
            <w:pPr>
              <w:pStyle w:val="BodyText"/>
              <w:jc w:val="center"/>
              <w:rPr>
                <w:rFonts w:cs="Times New Roman"/>
                <w:b/>
                <w:color w:val="auto"/>
                <w:szCs w:val="20"/>
              </w:rPr>
            </w:pPr>
            <w:r w:rsidRPr="007D60D8">
              <w:rPr>
                <w:rFonts w:cs="Times New Roman"/>
                <w:b/>
                <w:color w:val="auto"/>
                <w:szCs w:val="20"/>
              </w:rPr>
              <w:t>Score</w:t>
            </w:r>
          </w:p>
        </w:tc>
        <w:tc>
          <w:tcPr>
            <w:tcW w:w="1687" w:type="dxa"/>
            <w:tcBorders>
              <w:top w:val="single" w:sz="12" w:space="0" w:color="000000"/>
              <w:bottom w:val="single" w:sz="12" w:space="0" w:color="000000"/>
            </w:tcBorders>
            <w:vAlign w:val="center"/>
          </w:tcPr>
          <w:p w:rsidR="00BE3597" w:rsidRPr="007D60D8" w:rsidRDefault="00BE3597" w:rsidP="0092031A">
            <w:pPr>
              <w:pStyle w:val="BodyText"/>
              <w:jc w:val="center"/>
              <w:rPr>
                <w:rFonts w:cs="Times New Roman"/>
                <w:b/>
                <w:color w:val="auto"/>
                <w:szCs w:val="20"/>
              </w:rPr>
            </w:pPr>
            <w:r w:rsidRPr="007D60D8">
              <w:rPr>
                <w:rFonts w:cs="Times New Roman"/>
                <w:b/>
                <w:color w:val="auto"/>
                <w:szCs w:val="20"/>
              </w:rPr>
              <w:t>Maximum score</w:t>
            </w:r>
          </w:p>
        </w:tc>
      </w:tr>
      <w:tr w:rsidR="00BE3597" w:rsidRPr="007D60D8" w:rsidTr="00E40EF8">
        <w:trPr>
          <w:trHeight w:val="255"/>
        </w:trPr>
        <w:tc>
          <w:tcPr>
            <w:tcW w:w="3671" w:type="dxa"/>
            <w:tcBorders>
              <w:top w:val="single" w:sz="12" w:space="0" w:color="000000"/>
            </w:tcBorders>
            <w:vAlign w:val="center"/>
          </w:tcPr>
          <w:p w:rsidR="00BE3597" w:rsidRPr="00A26EE3" w:rsidRDefault="00BE3597" w:rsidP="0092031A">
            <w:pPr>
              <w:pStyle w:val="BodyText"/>
              <w:jc w:val="left"/>
              <w:rPr>
                <w:rFonts w:cs="Times New Roman"/>
                <w:b/>
                <w:color w:val="auto"/>
                <w:sz w:val="20"/>
                <w:szCs w:val="20"/>
              </w:rPr>
            </w:pPr>
            <w:r>
              <w:rPr>
                <w:rFonts w:cs="Times New Roman"/>
                <w:b/>
                <w:color w:val="auto"/>
                <w:sz w:val="20"/>
                <w:szCs w:val="20"/>
              </w:rPr>
              <w:t>Netherlands, Norway</w:t>
            </w:r>
          </w:p>
        </w:tc>
        <w:tc>
          <w:tcPr>
            <w:tcW w:w="2379" w:type="dxa"/>
            <w:tcBorders>
              <w:top w:val="single" w:sz="12" w:space="0" w:color="000000"/>
            </w:tcBorders>
            <w:vAlign w:val="center"/>
          </w:tcPr>
          <w:p w:rsidR="00BE3597" w:rsidRPr="007D60D8" w:rsidRDefault="00BE3597" w:rsidP="0092031A">
            <w:pPr>
              <w:rPr>
                <w:rFonts w:cs="Times New Roman"/>
                <w:b/>
                <w:bCs/>
                <w:sz w:val="20"/>
              </w:rPr>
            </w:pPr>
            <w:r w:rsidRPr="007D60D8">
              <w:rPr>
                <w:rFonts w:cs="Times New Roman"/>
                <w:b/>
                <w:bCs/>
                <w:sz w:val="20"/>
              </w:rPr>
              <w:t>1. Patient rights and information</w:t>
            </w:r>
          </w:p>
        </w:tc>
        <w:tc>
          <w:tcPr>
            <w:tcW w:w="1040" w:type="dxa"/>
            <w:tcBorders>
              <w:top w:val="single" w:sz="12" w:space="0" w:color="000000"/>
            </w:tcBorders>
            <w:vAlign w:val="center"/>
          </w:tcPr>
          <w:p w:rsidR="00BE3597" w:rsidRPr="00871C83" w:rsidRDefault="00BE3597" w:rsidP="0092031A">
            <w:pPr>
              <w:pStyle w:val="BodyText"/>
              <w:jc w:val="center"/>
              <w:rPr>
                <w:rFonts w:cs="Times New Roman"/>
                <w:b/>
                <w:color w:val="FF0000"/>
                <w:sz w:val="20"/>
                <w:szCs w:val="20"/>
              </w:rPr>
            </w:pPr>
            <w:r>
              <w:rPr>
                <w:rFonts w:cs="Times New Roman"/>
                <w:b/>
                <w:color w:val="000000" w:themeColor="text1"/>
                <w:sz w:val="20"/>
                <w:szCs w:val="20"/>
              </w:rPr>
              <w:t>146</w:t>
            </w:r>
          </w:p>
        </w:tc>
        <w:tc>
          <w:tcPr>
            <w:tcW w:w="1687" w:type="dxa"/>
            <w:tcBorders>
              <w:top w:val="single" w:sz="12" w:space="0" w:color="000000"/>
            </w:tcBorders>
            <w:vAlign w:val="center"/>
          </w:tcPr>
          <w:p w:rsidR="00BE3597" w:rsidRPr="007D60D8" w:rsidRDefault="00BE3597" w:rsidP="0092031A">
            <w:pPr>
              <w:jc w:val="center"/>
              <w:rPr>
                <w:rFonts w:cs="Times New Roman"/>
                <w:b/>
                <w:bCs/>
                <w:sz w:val="20"/>
              </w:rPr>
            </w:pPr>
            <w:r>
              <w:rPr>
                <w:rFonts w:cs="Times New Roman"/>
                <w:b/>
                <w:bCs/>
                <w:sz w:val="20"/>
              </w:rPr>
              <w:t>150</w:t>
            </w:r>
          </w:p>
        </w:tc>
      </w:tr>
      <w:tr w:rsidR="00BE3597" w:rsidRPr="007D60D8" w:rsidTr="00E40EF8">
        <w:trPr>
          <w:trHeight w:val="255"/>
        </w:trPr>
        <w:tc>
          <w:tcPr>
            <w:tcW w:w="3671" w:type="dxa"/>
            <w:vAlign w:val="center"/>
          </w:tcPr>
          <w:p w:rsidR="00BE3597" w:rsidRPr="00636564" w:rsidRDefault="00BE3597" w:rsidP="0092031A">
            <w:pPr>
              <w:pStyle w:val="BodyText"/>
              <w:jc w:val="left"/>
              <w:rPr>
                <w:rFonts w:cs="Times New Roman"/>
                <w:b/>
                <w:color w:val="auto"/>
                <w:sz w:val="18"/>
                <w:szCs w:val="18"/>
              </w:rPr>
            </w:pPr>
            <w:r w:rsidRPr="00CF7545">
              <w:rPr>
                <w:rFonts w:cs="Times New Roman"/>
                <w:b/>
                <w:color w:val="auto"/>
                <w:sz w:val="20"/>
                <w:szCs w:val="18"/>
              </w:rPr>
              <w:t>Belgium, Switzerland</w:t>
            </w:r>
          </w:p>
        </w:tc>
        <w:tc>
          <w:tcPr>
            <w:tcW w:w="2379" w:type="dxa"/>
            <w:vAlign w:val="center"/>
          </w:tcPr>
          <w:p w:rsidR="00BE3597" w:rsidRPr="007D60D8" w:rsidRDefault="00BE3597" w:rsidP="0092031A">
            <w:pPr>
              <w:rPr>
                <w:rFonts w:cs="Times New Roman"/>
                <w:b/>
                <w:bCs/>
                <w:sz w:val="20"/>
              </w:rPr>
            </w:pPr>
            <w:r>
              <w:rPr>
                <w:rFonts w:cs="Times New Roman"/>
                <w:b/>
                <w:bCs/>
                <w:sz w:val="20"/>
              </w:rPr>
              <w:t>2</w:t>
            </w:r>
            <w:r w:rsidRPr="007D60D8">
              <w:rPr>
                <w:rFonts w:cs="Times New Roman"/>
                <w:b/>
                <w:bCs/>
                <w:sz w:val="20"/>
              </w:rPr>
              <w:t xml:space="preserve">. </w:t>
            </w:r>
            <w:r>
              <w:rPr>
                <w:rFonts w:cs="Times New Roman"/>
                <w:b/>
                <w:bCs/>
                <w:sz w:val="20"/>
              </w:rPr>
              <w:t>Accessibility</w:t>
            </w:r>
          </w:p>
        </w:tc>
        <w:tc>
          <w:tcPr>
            <w:tcW w:w="1040" w:type="dxa"/>
            <w:vAlign w:val="center"/>
          </w:tcPr>
          <w:p w:rsidR="00BE3597" w:rsidRPr="00E35E0A" w:rsidRDefault="00BE3597" w:rsidP="0092031A">
            <w:pPr>
              <w:pStyle w:val="BodyText"/>
              <w:jc w:val="center"/>
              <w:rPr>
                <w:rFonts w:cs="Times New Roman"/>
                <w:b/>
                <w:color w:val="auto"/>
                <w:sz w:val="20"/>
                <w:szCs w:val="20"/>
              </w:rPr>
            </w:pPr>
            <w:r w:rsidRPr="00E35E0A">
              <w:rPr>
                <w:rFonts w:cs="Times New Roman"/>
                <w:b/>
                <w:color w:val="auto"/>
                <w:sz w:val="20"/>
                <w:szCs w:val="20"/>
              </w:rPr>
              <w:t>225!</w:t>
            </w:r>
          </w:p>
        </w:tc>
        <w:tc>
          <w:tcPr>
            <w:tcW w:w="1687" w:type="dxa"/>
            <w:vAlign w:val="center"/>
          </w:tcPr>
          <w:p w:rsidR="00BE3597" w:rsidRPr="007D60D8" w:rsidRDefault="00BE3597" w:rsidP="0092031A">
            <w:pPr>
              <w:jc w:val="center"/>
              <w:rPr>
                <w:rFonts w:cs="Times New Roman"/>
                <w:b/>
                <w:bCs/>
                <w:sz w:val="20"/>
              </w:rPr>
            </w:pPr>
            <w:r>
              <w:rPr>
                <w:rFonts w:cs="Times New Roman"/>
                <w:b/>
                <w:bCs/>
                <w:sz w:val="20"/>
              </w:rPr>
              <w:t>225</w:t>
            </w:r>
          </w:p>
        </w:tc>
      </w:tr>
      <w:tr w:rsidR="00BE3597" w:rsidRPr="007D60D8" w:rsidTr="00E40EF8">
        <w:trPr>
          <w:trHeight w:val="255"/>
        </w:trPr>
        <w:tc>
          <w:tcPr>
            <w:tcW w:w="3671" w:type="dxa"/>
            <w:vAlign w:val="center"/>
          </w:tcPr>
          <w:p w:rsidR="00BE3597" w:rsidRPr="00A26EE3" w:rsidRDefault="00BE3597" w:rsidP="0092031A">
            <w:pPr>
              <w:pStyle w:val="BodyText"/>
              <w:jc w:val="left"/>
              <w:rPr>
                <w:rFonts w:cs="Times New Roman"/>
                <w:b/>
                <w:color w:val="auto"/>
                <w:sz w:val="20"/>
                <w:szCs w:val="20"/>
              </w:rPr>
            </w:pPr>
            <w:r>
              <w:rPr>
                <w:rFonts w:cs="Times New Roman"/>
                <w:b/>
                <w:color w:val="auto"/>
                <w:sz w:val="20"/>
                <w:szCs w:val="20"/>
              </w:rPr>
              <w:t>Iceland, Netherlands, Norway</w:t>
            </w:r>
          </w:p>
        </w:tc>
        <w:tc>
          <w:tcPr>
            <w:tcW w:w="2379" w:type="dxa"/>
            <w:vAlign w:val="center"/>
          </w:tcPr>
          <w:p w:rsidR="00BE3597" w:rsidRPr="007D60D8" w:rsidRDefault="00BE3597" w:rsidP="0092031A">
            <w:pPr>
              <w:rPr>
                <w:rFonts w:cs="Times New Roman"/>
                <w:b/>
                <w:bCs/>
                <w:sz w:val="20"/>
              </w:rPr>
            </w:pPr>
            <w:r>
              <w:rPr>
                <w:rFonts w:cs="Times New Roman"/>
                <w:b/>
                <w:bCs/>
                <w:sz w:val="20"/>
              </w:rPr>
              <w:t>3</w:t>
            </w:r>
            <w:r w:rsidRPr="007D60D8">
              <w:rPr>
                <w:rFonts w:cs="Times New Roman"/>
                <w:b/>
                <w:bCs/>
                <w:sz w:val="20"/>
              </w:rPr>
              <w:t>. Outcomes</w:t>
            </w:r>
          </w:p>
        </w:tc>
        <w:tc>
          <w:tcPr>
            <w:tcW w:w="1040" w:type="dxa"/>
            <w:vAlign w:val="center"/>
          </w:tcPr>
          <w:p w:rsidR="00BE3597" w:rsidRPr="00871C83" w:rsidRDefault="00BE3597" w:rsidP="0092031A">
            <w:pPr>
              <w:pStyle w:val="BodyText"/>
              <w:jc w:val="center"/>
              <w:rPr>
                <w:rFonts w:cs="Times New Roman"/>
                <w:b/>
                <w:color w:val="FF0000"/>
                <w:sz w:val="20"/>
                <w:szCs w:val="20"/>
              </w:rPr>
            </w:pPr>
            <w:r>
              <w:rPr>
                <w:rFonts w:cs="Times New Roman"/>
                <w:b/>
                <w:color w:val="000000" w:themeColor="text1"/>
                <w:sz w:val="20"/>
                <w:szCs w:val="20"/>
              </w:rPr>
              <w:t>240</w:t>
            </w:r>
          </w:p>
        </w:tc>
        <w:tc>
          <w:tcPr>
            <w:tcW w:w="1687" w:type="dxa"/>
            <w:vAlign w:val="center"/>
          </w:tcPr>
          <w:p w:rsidR="00BE3597" w:rsidRPr="007D60D8" w:rsidRDefault="00BE3597" w:rsidP="0092031A">
            <w:pPr>
              <w:jc w:val="center"/>
              <w:rPr>
                <w:rFonts w:cs="Times New Roman"/>
                <w:b/>
                <w:bCs/>
                <w:sz w:val="20"/>
              </w:rPr>
            </w:pPr>
            <w:r>
              <w:rPr>
                <w:rFonts w:cs="Times New Roman"/>
                <w:b/>
                <w:bCs/>
                <w:sz w:val="20"/>
              </w:rPr>
              <w:t>250</w:t>
            </w:r>
          </w:p>
        </w:tc>
      </w:tr>
      <w:tr w:rsidR="00BE3597" w:rsidRPr="007D60D8" w:rsidTr="00E40EF8">
        <w:trPr>
          <w:trHeight w:val="255"/>
        </w:trPr>
        <w:tc>
          <w:tcPr>
            <w:tcW w:w="3671" w:type="dxa"/>
            <w:vAlign w:val="center"/>
          </w:tcPr>
          <w:p w:rsidR="00BE3597" w:rsidRPr="00A26EE3" w:rsidRDefault="00BE3597" w:rsidP="0092031A">
            <w:pPr>
              <w:pStyle w:val="BodyText"/>
              <w:jc w:val="left"/>
              <w:rPr>
                <w:rFonts w:cs="Times New Roman"/>
                <w:b/>
                <w:color w:val="auto"/>
                <w:sz w:val="20"/>
                <w:szCs w:val="20"/>
              </w:rPr>
            </w:pPr>
            <w:r>
              <w:rPr>
                <w:rFonts w:cs="Times New Roman"/>
                <w:b/>
                <w:color w:val="auto"/>
                <w:sz w:val="20"/>
                <w:szCs w:val="20"/>
              </w:rPr>
              <w:t>Finland, Netherlands, Sweden</w:t>
            </w:r>
          </w:p>
        </w:tc>
        <w:tc>
          <w:tcPr>
            <w:tcW w:w="2379" w:type="dxa"/>
            <w:vAlign w:val="center"/>
          </w:tcPr>
          <w:p w:rsidR="00BE3597" w:rsidRPr="007D60D8" w:rsidRDefault="00BE3597" w:rsidP="0092031A">
            <w:pPr>
              <w:rPr>
                <w:rFonts w:cs="Times New Roman"/>
                <w:b/>
                <w:bCs/>
                <w:sz w:val="20"/>
              </w:rPr>
            </w:pPr>
            <w:r>
              <w:rPr>
                <w:rFonts w:cs="Times New Roman"/>
                <w:b/>
                <w:bCs/>
                <w:sz w:val="20"/>
              </w:rPr>
              <w:t>4</w:t>
            </w:r>
            <w:r w:rsidRPr="007D60D8">
              <w:rPr>
                <w:rFonts w:cs="Times New Roman"/>
                <w:b/>
                <w:bCs/>
                <w:sz w:val="20"/>
              </w:rPr>
              <w:t xml:space="preserve">. Range and reach of services </w:t>
            </w:r>
          </w:p>
        </w:tc>
        <w:tc>
          <w:tcPr>
            <w:tcW w:w="1040" w:type="dxa"/>
            <w:vAlign w:val="center"/>
          </w:tcPr>
          <w:p w:rsidR="00BE3597" w:rsidRPr="0055594E" w:rsidRDefault="00BE3597" w:rsidP="0092031A">
            <w:pPr>
              <w:pStyle w:val="BodyText"/>
              <w:jc w:val="center"/>
              <w:rPr>
                <w:rFonts w:cs="Times New Roman"/>
                <w:b/>
                <w:color w:val="000000" w:themeColor="text1"/>
                <w:sz w:val="20"/>
                <w:szCs w:val="20"/>
              </w:rPr>
            </w:pPr>
            <w:r>
              <w:rPr>
                <w:rFonts w:cs="Times New Roman"/>
                <w:b/>
                <w:color w:val="000000" w:themeColor="text1"/>
                <w:sz w:val="20"/>
                <w:szCs w:val="20"/>
              </w:rPr>
              <w:t>144</w:t>
            </w:r>
          </w:p>
        </w:tc>
        <w:tc>
          <w:tcPr>
            <w:tcW w:w="1687" w:type="dxa"/>
            <w:vAlign w:val="center"/>
          </w:tcPr>
          <w:p w:rsidR="00BE3597" w:rsidRPr="007D60D8" w:rsidRDefault="00BE3597" w:rsidP="0092031A">
            <w:pPr>
              <w:jc w:val="center"/>
              <w:rPr>
                <w:rFonts w:cs="Times New Roman"/>
                <w:b/>
                <w:bCs/>
                <w:sz w:val="20"/>
              </w:rPr>
            </w:pPr>
            <w:r>
              <w:rPr>
                <w:rFonts w:cs="Times New Roman"/>
                <w:b/>
                <w:bCs/>
                <w:sz w:val="20"/>
              </w:rPr>
              <w:t>150</w:t>
            </w:r>
          </w:p>
        </w:tc>
      </w:tr>
      <w:tr w:rsidR="00BE3597" w:rsidRPr="007D60D8" w:rsidTr="00E40EF8">
        <w:trPr>
          <w:trHeight w:val="255"/>
        </w:trPr>
        <w:tc>
          <w:tcPr>
            <w:tcW w:w="3671" w:type="dxa"/>
            <w:vAlign w:val="center"/>
          </w:tcPr>
          <w:p w:rsidR="00BE3597" w:rsidRPr="00A26EE3" w:rsidRDefault="00BE3597" w:rsidP="0092031A">
            <w:pPr>
              <w:pStyle w:val="BodyText"/>
              <w:jc w:val="left"/>
              <w:rPr>
                <w:rFonts w:cs="Times New Roman"/>
                <w:b/>
                <w:color w:val="auto"/>
                <w:sz w:val="20"/>
                <w:szCs w:val="20"/>
              </w:rPr>
            </w:pPr>
            <w:r>
              <w:rPr>
                <w:rFonts w:cs="Times New Roman"/>
                <w:b/>
                <w:color w:val="auto"/>
                <w:sz w:val="20"/>
                <w:szCs w:val="20"/>
              </w:rPr>
              <w:t>Norway</w:t>
            </w:r>
          </w:p>
        </w:tc>
        <w:tc>
          <w:tcPr>
            <w:tcW w:w="2379" w:type="dxa"/>
            <w:vAlign w:val="center"/>
          </w:tcPr>
          <w:p w:rsidR="00BE3597" w:rsidRPr="007D60D8" w:rsidRDefault="00BE3597" w:rsidP="0092031A">
            <w:pPr>
              <w:rPr>
                <w:rFonts w:cs="Times New Roman"/>
                <w:b/>
                <w:bCs/>
                <w:sz w:val="20"/>
              </w:rPr>
            </w:pPr>
            <w:r>
              <w:rPr>
                <w:rFonts w:cs="Times New Roman"/>
                <w:b/>
                <w:bCs/>
                <w:sz w:val="20"/>
              </w:rPr>
              <w:t>5</w:t>
            </w:r>
            <w:r w:rsidRPr="007D60D8">
              <w:rPr>
                <w:rFonts w:cs="Times New Roman"/>
                <w:b/>
                <w:bCs/>
                <w:sz w:val="20"/>
              </w:rPr>
              <w:t>. P</w:t>
            </w:r>
            <w:r>
              <w:rPr>
                <w:rFonts w:cs="Times New Roman"/>
                <w:b/>
                <w:bCs/>
                <w:sz w:val="20"/>
              </w:rPr>
              <w:t>revention</w:t>
            </w:r>
          </w:p>
        </w:tc>
        <w:tc>
          <w:tcPr>
            <w:tcW w:w="1040" w:type="dxa"/>
            <w:vAlign w:val="center"/>
          </w:tcPr>
          <w:p w:rsidR="00BE3597" w:rsidRPr="00871C83" w:rsidRDefault="00BE3597" w:rsidP="0092031A">
            <w:pPr>
              <w:pStyle w:val="BodyText"/>
              <w:jc w:val="center"/>
              <w:rPr>
                <w:rFonts w:cs="Times New Roman"/>
                <w:b/>
                <w:color w:val="auto"/>
                <w:sz w:val="20"/>
                <w:szCs w:val="20"/>
              </w:rPr>
            </w:pPr>
            <w:r>
              <w:rPr>
                <w:rFonts w:cs="Times New Roman"/>
                <w:b/>
                <w:color w:val="auto"/>
                <w:sz w:val="20"/>
                <w:szCs w:val="20"/>
              </w:rPr>
              <w:t>113</w:t>
            </w:r>
          </w:p>
        </w:tc>
        <w:tc>
          <w:tcPr>
            <w:tcW w:w="1687" w:type="dxa"/>
            <w:vAlign w:val="center"/>
          </w:tcPr>
          <w:p w:rsidR="00BE3597" w:rsidRPr="007D60D8" w:rsidRDefault="00BE3597" w:rsidP="0092031A">
            <w:pPr>
              <w:jc w:val="center"/>
              <w:rPr>
                <w:rFonts w:cs="Times New Roman"/>
                <w:b/>
                <w:bCs/>
                <w:sz w:val="20"/>
              </w:rPr>
            </w:pPr>
            <w:r>
              <w:rPr>
                <w:rFonts w:cs="Times New Roman"/>
                <w:b/>
                <w:bCs/>
                <w:sz w:val="20"/>
              </w:rPr>
              <w:t>125</w:t>
            </w:r>
          </w:p>
        </w:tc>
      </w:tr>
      <w:tr w:rsidR="00BE3597" w:rsidRPr="007D60D8" w:rsidTr="00E40EF8">
        <w:trPr>
          <w:trHeight w:val="255"/>
        </w:trPr>
        <w:tc>
          <w:tcPr>
            <w:tcW w:w="3671" w:type="dxa"/>
            <w:vAlign w:val="center"/>
          </w:tcPr>
          <w:p w:rsidR="00BE3597" w:rsidRPr="00A26EE3" w:rsidRDefault="00BE3597" w:rsidP="0092031A">
            <w:pPr>
              <w:pStyle w:val="BodyText"/>
              <w:jc w:val="left"/>
              <w:rPr>
                <w:rFonts w:cs="Times New Roman"/>
                <w:b/>
                <w:color w:val="auto"/>
                <w:sz w:val="20"/>
                <w:szCs w:val="20"/>
              </w:rPr>
            </w:pPr>
            <w:r>
              <w:rPr>
                <w:rFonts w:cs="Times New Roman"/>
                <w:b/>
                <w:color w:val="auto"/>
                <w:sz w:val="20"/>
                <w:szCs w:val="20"/>
              </w:rPr>
              <w:t xml:space="preserve">Finland, Germany, Ireland, Netherlands, UK </w:t>
            </w:r>
          </w:p>
        </w:tc>
        <w:tc>
          <w:tcPr>
            <w:tcW w:w="2379" w:type="dxa"/>
            <w:vAlign w:val="center"/>
          </w:tcPr>
          <w:p w:rsidR="00BE3597" w:rsidRPr="007D60D8" w:rsidRDefault="00BE3597" w:rsidP="0092031A">
            <w:pPr>
              <w:rPr>
                <w:rFonts w:cs="Times New Roman"/>
                <w:b/>
                <w:bCs/>
                <w:sz w:val="20"/>
              </w:rPr>
            </w:pPr>
            <w:r>
              <w:rPr>
                <w:rFonts w:cs="Times New Roman"/>
                <w:b/>
                <w:bCs/>
                <w:sz w:val="20"/>
              </w:rPr>
              <w:t>6</w:t>
            </w:r>
            <w:r w:rsidRPr="007D60D8">
              <w:rPr>
                <w:rFonts w:cs="Times New Roman"/>
                <w:b/>
                <w:bCs/>
                <w:sz w:val="20"/>
              </w:rPr>
              <w:t>. Pharmaceuticals</w:t>
            </w:r>
          </w:p>
        </w:tc>
        <w:tc>
          <w:tcPr>
            <w:tcW w:w="1040" w:type="dxa"/>
            <w:vAlign w:val="center"/>
          </w:tcPr>
          <w:p w:rsidR="00BE3597" w:rsidRPr="00871C83" w:rsidRDefault="00BE3597" w:rsidP="0092031A">
            <w:pPr>
              <w:pStyle w:val="BodyText"/>
              <w:jc w:val="center"/>
              <w:rPr>
                <w:rFonts w:cs="Times New Roman"/>
                <w:b/>
                <w:color w:val="auto"/>
                <w:sz w:val="20"/>
                <w:szCs w:val="20"/>
              </w:rPr>
            </w:pPr>
            <w:r>
              <w:rPr>
                <w:rFonts w:cs="Times New Roman"/>
                <w:b/>
                <w:color w:val="auto"/>
                <w:sz w:val="20"/>
                <w:szCs w:val="20"/>
              </w:rPr>
              <w:t xml:space="preserve"> 86</w:t>
            </w:r>
          </w:p>
        </w:tc>
        <w:tc>
          <w:tcPr>
            <w:tcW w:w="1687" w:type="dxa"/>
            <w:vAlign w:val="center"/>
          </w:tcPr>
          <w:p w:rsidR="00BE3597" w:rsidRPr="007D60D8" w:rsidRDefault="00BE3597" w:rsidP="0092031A">
            <w:pPr>
              <w:jc w:val="center"/>
              <w:rPr>
                <w:rFonts w:cs="Times New Roman"/>
                <w:b/>
                <w:bCs/>
                <w:sz w:val="20"/>
              </w:rPr>
            </w:pPr>
            <w:r>
              <w:rPr>
                <w:rFonts w:cs="Times New Roman"/>
                <w:b/>
                <w:bCs/>
                <w:sz w:val="20"/>
              </w:rPr>
              <w:t>10</w:t>
            </w:r>
            <w:r w:rsidRPr="007D60D8">
              <w:rPr>
                <w:rFonts w:cs="Times New Roman"/>
                <w:b/>
                <w:bCs/>
                <w:sz w:val="20"/>
              </w:rPr>
              <w:t>0</w:t>
            </w:r>
          </w:p>
        </w:tc>
      </w:tr>
    </w:tbl>
    <w:p w:rsidR="00670187" w:rsidRPr="00670187" w:rsidRDefault="0007202A" w:rsidP="00E35E0A">
      <w:pPr>
        <w:pStyle w:val="Heading2"/>
      </w:pPr>
      <w:r w:rsidRPr="00670187">
        <w:t>The indicators behind the sub-disciplines are listed in the full EHCI 2015 report (</w:t>
      </w:r>
      <w:bookmarkStart w:id="1" w:name="_Toc213691151"/>
      <w:bookmarkStart w:id="2" w:name="_Toc213693019"/>
      <w:bookmarkStart w:id="3" w:name="_Toc440812682"/>
      <w:r w:rsidR="00D6415D">
        <w:t xml:space="preserve">chapter </w:t>
      </w:r>
      <w:r w:rsidR="00670187" w:rsidRPr="00670187">
        <w:t xml:space="preserve">8.7 Indicator definitions and data sources for the EHCI </w:t>
      </w:r>
      <w:bookmarkEnd w:id="1"/>
      <w:bookmarkEnd w:id="2"/>
      <w:r w:rsidR="00670187" w:rsidRPr="00670187">
        <w:t>2015</w:t>
      </w:r>
      <w:bookmarkEnd w:id="3"/>
      <w:r w:rsidR="00670187">
        <w:t>)</w:t>
      </w:r>
      <w:r w:rsidR="00267603">
        <w:t xml:space="preserve"> as well as country-specific explanations and comments.</w:t>
      </w:r>
    </w:p>
    <w:p w:rsidR="00267603" w:rsidRDefault="00267603" w:rsidP="00BE3597">
      <w:pPr>
        <w:rPr>
          <w:rFonts w:ascii="Times New Roman" w:hAnsi="Times New Roman" w:cs="Times New Roman"/>
          <w:b/>
          <w:sz w:val="24"/>
          <w:szCs w:val="24"/>
          <w:lang w:val="en-GB"/>
        </w:rPr>
      </w:pPr>
      <w:r>
        <w:rPr>
          <w:rFonts w:ascii="Times New Roman" w:hAnsi="Times New Roman" w:cs="Times New Roman"/>
          <w:b/>
          <w:sz w:val="24"/>
          <w:szCs w:val="24"/>
          <w:lang w:val="en-GB"/>
        </w:rPr>
        <w:t>Some key comments on the 2015 EHCI</w:t>
      </w:r>
    </w:p>
    <w:p w:rsidR="00267603" w:rsidRPr="00E237AF" w:rsidRDefault="00E237AF" w:rsidP="00267603">
      <w:pPr>
        <w:pStyle w:val="ListParagraph"/>
        <w:numPr>
          <w:ilvl w:val="0"/>
          <w:numId w:val="2"/>
        </w:numPr>
        <w:rPr>
          <w:rFonts w:ascii="Times New Roman" w:hAnsi="Times New Roman" w:cs="Times New Roman"/>
          <w:b/>
          <w:sz w:val="24"/>
          <w:szCs w:val="24"/>
          <w:lang w:val="en-GB"/>
        </w:rPr>
      </w:pPr>
      <w:r w:rsidRPr="00E237AF">
        <w:rPr>
          <w:rFonts w:ascii="Times New Roman" w:hAnsi="Times New Roman" w:cs="Times New Roman"/>
          <w:sz w:val="24"/>
          <w:szCs w:val="24"/>
        </w:rPr>
        <w:t xml:space="preserve">The 2006 EHCI had France as the champion with 768 points out of 1000. In the 2015 EHCI, the same performance would give </w:t>
      </w:r>
      <w:r>
        <w:rPr>
          <w:rFonts w:ascii="Times New Roman" w:hAnsi="Times New Roman" w:cs="Times New Roman"/>
          <w:sz w:val="24"/>
          <w:szCs w:val="24"/>
        </w:rPr>
        <w:t>just the</w:t>
      </w:r>
      <w:r w:rsidRPr="00E237AF">
        <w:rPr>
          <w:rFonts w:ascii="Times New Roman" w:hAnsi="Times New Roman" w:cs="Times New Roman"/>
          <w:sz w:val="24"/>
          <w:szCs w:val="24"/>
        </w:rPr>
        <w:t xml:space="preserve"> 13</w:t>
      </w:r>
      <w:r w:rsidRPr="00E237AF">
        <w:rPr>
          <w:rFonts w:ascii="Times New Roman" w:hAnsi="Times New Roman" w:cs="Times New Roman"/>
          <w:sz w:val="24"/>
          <w:szCs w:val="24"/>
          <w:vertAlign w:val="superscript"/>
        </w:rPr>
        <w:t>th</w:t>
      </w:r>
      <w:r w:rsidRPr="00E237AF">
        <w:rPr>
          <w:rFonts w:ascii="Times New Roman" w:hAnsi="Times New Roman" w:cs="Times New Roman"/>
          <w:sz w:val="24"/>
          <w:szCs w:val="24"/>
        </w:rPr>
        <w:t xml:space="preserve"> position among 35 countries. Top performance ten years ago has today become European average!</w:t>
      </w:r>
    </w:p>
    <w:p w:rsidR="00D849EF" w:rsidRPr="00D849EF" w:rsidRDefault="00D849EF" w:rsidP="0092031A">
      <w:pPr>
        <w:pStyle w:val="BodyText"/>
        <w:numPr>
          <w:ilvl w:val="0"/>
          <w:numId w:val="2"/>
        </w:numPr>
        <w:spacing w:line="276" w:lineRule="auto"/>
        <w:ind w:left="709"/>
        <w:rPr>
          <w:rFonts w:ascii="Times New Roman" w:hAnsi="Times New Roman" w:cs="Times New Roman"/>
          <w:b/>
          <w:color w:val="auto"/>
          <w:sz w:val="24"/>
        </w:rPr>
      </w:pPr>
      <w:r w:rsidRPr="00D849EF">
        <w:rPr>
          <w:rFonts w:ascii="Times New Roman" w:hAnsi="Times New Roman" w:cs="Times New Roman"/>
          <w:color w:val="auto"/>
          <w:sz w:val="24"/>
        </w:rPr>
        <w:t xml:space="preserve">Health </w:t>
      </w:r>
      <w:r w:rsidRPr="00D849EF">
        <w:rPr>
          <w:rFonts w:ascii="Times New Roman" w:hAnsi="Times New Roman" w:cs="Times New Roman"/>
          <w:b/>
          <w:color w:val="auto"/>
          <w:sz w:val="24"/>
        </w:rPr>
        <w:t>s</w:t>
      </w:r>
      <w:r w:rsidRPr="00D849EF">
        <w:rPr>
          <w:rFonts w:ascii="Times New Roman" w:hAnsi="Times New Roman" w:cs="Times New Roman"/>
          <w:color w:val="auto"/>
          <w:sz w:val="24"/>
        </w:rPr>
        <w:t xml:space="preserve">ystems based on social insurance, with a multitude of insurance organisations, who are </w:t>
      </w:r>
      <w:r w:rsidRPr="00D849EF">
        <w:rPr>
          <w:rFonts w:ascii="Times New Roman" w:hAnsi="Times New Roman" w:cs="Times New Roman"/>
          <w:i/>
          <w:color w:val="auto"/>
          <w:sz w:val="24"/>
        </w:rPr>
        <w:t>organisationally independent of</w:t>
      </w:r>
      <w:r w:rsidRPr="00D849EF">
        <w:rPr>
          <w:rFonts w:ascii="Times New Roman" w:hAnsi="Times New Roman" w:cs="Times New Roman"/>
          <w:color w:val="auto"/>
          <w:sz w:val="24"/>
        </w:rPr>
        <w:t xml:space="preserve"> healthcare providers, are called </w:t>
      </w:r>
      <w:r w:rsidRPr="00D849EF">
        <w:rPr>
          <w:rFonts w:ascii="Times New Roman" w:hAnsi="Times New Roman" w:cs="Times New Roman"/>
          <w:b/>
          <w:color w:val="auto"/>
          <w:sz w:val="24"/>
        </w:rPr>
        <w:t>Bismarck systems.</w:t>
      </w:r>
      <w:r w:rsidRPr="00D849EF">
        <w:rPr>
          <w:rFonts w:ascii="Times New Roman" w:hAnsi="Times New Roman" w:cs="Times New Roman"/>
          <w:color w:val="auto"/>
          <w:sz w:val="24"/>
        </w:rPr>
        <w:t xml:space="preserve"> There are also systems where financing and provision are handled </w:t>
      </w:r>
      <w:r w:rsidRPr="00D849EF">
        <w:rPr>
          <w:rFonts w:ascii="Times New Roman" w:hAnsi="Times New Roman" w:cs="Times New Roman"/>
          <w:i/>
          <w:color w:val="auto"/>
          <w:sz w:val="24"/>
        </w:rPr>
        <w:t>within one, integrated organisation</w:t>
      </w:r>
      <w:r w:rsidRPr="00D849EF">
        <w:rPr>
          <w:rFonts w:ascii="Times New Roman" w:hAnsi="Times New Roman" w:cs="Times New Roman"/>
          <w:color w:val="auto"/>
          <w:sz w:val="24"/>
        </w:rPr>
        <w:t xml:space="preserve"> (</w:t>
      </w:r>
      <w:r w:rsidRPr="00D849EF">
        <w:rPr>
          <w:rFonts w:ascii="Times New Roman" w:hAnsi="Times New Roman" w:cs="Times New Roman"/>
          <w:b/>
          <w:color w:val="auto"/>
          <w:sz w:val="24"/>
        </w:rPr>
        <w:t>Beveridge systems</w:t>
      </w:r>
      <w:r w:rsidRPr="00D849EF">
        <w:rPr>
          <w:rFonts w:ascii="Times New Roman" w:hAnsi="Times New Roman" w:cs="Times New Roman"/>
          <w:color w:val="auto"/>
          <w:sz w:val="24"/>
        </w:rPr>
        <w:t xml:space="preserve">). EHCI finds that generally Bismarck style countries, such as the Netherlands, </w:t>
      </w:r>
      <w:r>
        <w:rPr>
          <w:rFonts w:ascii="Times New Roman" w:hAnsi="Times New Roman" w:cs="Times New Roman"/>
          <w:color w:val="auto"/>
          <w:sz w:val="24"/>
        </w:rPr>
        <w:t>Belgium, Germany and France, provide superior care.</w:t>
      </w:r>
    </w:p>
    <w:p w:rsidR="00292EA1" w:rsidRDefault="001A13A5" w:rsidP="00E40EF8">
      <w:pPr>
        <w:pStyle w:val="ListParagraph"/>
        <w:numPr>
          <w:ilvl w:val="0"/>
          <w:numId w:val="2"/>
        </w:numPr>
        <w:spacing w:after="120"/>
        <w:ind w:left="714" w:hanging="357"/>
        <w:contextualSpacing w:val="0"/>
        <w:rPr>
          <w:rFonts w:ascii="Times New Roman" w:hAnsi="Times New Roman" w:cs="Times New Roman"/>
          <w:sz w:val="24"/>
          <w:szCs w:val="24"/>
          <w:lang w:val="en-GB"/>
        </w:rPr>
      </w:pPr>
      <w:r w:rsidRPr="001A13A5">
        <w:rPr>
          <w:rFonts w:ascii="Times New Roman" w:hAnsi="Times New Roman" w:cs="Times New Roman"/>
          <w:sz w:val="24"/>
          <w:szCs w:val="24"/>
          <w:lang w:val="en-GB"/>
        </w:rPr>
        <w:t xml:space="preserve">As said, in spite of financial stress, European healthcare keeps improving. </w:t>
      </w:r>
      <w:r>
        <w:rPr>
          <w:rFonts w:ascii="Times New Roman" w:hAnsi="Times New Roman" w:cs="Times New Roman"/>
          <w:sz w:val="24"/>
          <w:szCs w:val="24"/>
          <w:lang w:val="en-GB"/>
        </w:rPr>
        <w:t>An important explanation is that the cost of medicines have been reduced by changing from patented drugs to generic brands - without any negative effects identified by the EHCI.</w:t>
      </w:r>
    </w:p>
    <w:p w:rsidR="001A13A5" w:rsidRPr="00292EA1" w:rsidRDefault="00D6415D" w:rsidP="00292EA1">
      <w:pPr>
        <w:pStyle w:val="ListParagraph"/>
        <w:numPr>
          <w:ilvl w:val="0"/>
          <w:numId w:val="2"/>
        </w:numPr>
        <w:tabs>
          <w:tab w:val="left" w:pos="3828"/>
        </w:tabs>
        <w:rPr>
          <w:rFonts w:ascii="Times New Roman" w:hAnsi="Times New Roman" w:cs="Times New Roman"/>
          <w:sz w:val="24"/>
          <w:szCs w:val="24"/>
          <w:lang w:val="en-GB"/>
        </w:rPr>
      </w:pPr>
      <w:r w:rsidRPr="00292EA1">
        <w:rPr>
          <w:rFonts w:ascii="Times New Roman" w:hAnsi="Times New Roman" w:cs="Times New Roman"/>
          <w:sz w:val="24"/>
          <w:szCs w:val="24"/>
          <w:lang w:val="en-GB"/>
        </w:rPr>
        <w:t xml:space="preserve">Learning from successful neighbours would be a good recipe. Finland can teach how to get rid of long waiting lists, FYROM on implementation of e-health services, </w:t>
      </w:r>
      <w:r w:rsidR="00AA0660" w:rsidRPr="00292EA1">
        <w:rPr>
          <w:rFonts w:ascii="Times New Roman" w:hAnsi="Times New Roman" w:cs="Times New Roman"/>
          <w:sz w:val="24"/>
          <w:szCs w:val="24"/>
          <w:lang w:val="en-GB"/>
        </w:rPr>
        <w:t>the Baltic states how to keep improving under severe financial crisis</w:t>
      </w:r>
      <w:r w:rsidR="00090FB1" w:rsidRPr="00292EA1">
        <w:rPr>
          <w:rFonts w:ascii="Times New Roman" w:hAnsi="Times New Roman" w:cs="Times New Roman"/>
          <w:sz w:val="24"/>
          <w:szCs w:val="24"/>
          <w:lang w:val="en-GB"/>
        </w:rPr>
        <w:t xml:space="preserve"> and the Netherlands how to further develop an already highly user-friendly system. Also negative experience can be valuable: do not copy the Swedish waiting time paralysis, the Hungarian and Polish performance down-slide or the uncontrolled Italian "regionalisation". Finally, think about how come Greece claims to have cut the health budget with 28 percent - without any noticeable negative outcomes in the EHCI?</w:t>
      </w:r>
    </w:p>
    <w:p w:rsidR="00E40EF8" w:rsidRDefault="00292EA1" w:rsidP="00E40EF8">
      <w:pPr>
        <w:rPr>
          <w:rFonts w:ascii="Times New Roman" w:hAnsi="Times New Roman" w:cs="Times New Roman"/>
          <w:b/>
          <w:sz w:val="24"/>
          <w:szCs w:val="24"/>
        </w:rPr>
      </w:pPr>
      <w:r>
        <w:rPr>
          <w:rFonts w:ascii="Times New Roman" w:hAnsi="Times New Roman" w:cs="Times New Roman"/>
          <w:b/>
          <w:sz w:val="24"/>
          <w:szCs w:val="24"/>
        </w:rPr>
        <w:t>HCP leads the way</w:t>
      </w:r>
    </w:p>
    <w:p w:rsidR="00AC60A2" w:rsidRPr="00E40EF8" w:rsidRDefault="00E40EF8" w:rsidP="00E40EF8">
      <w:pPr>
        <w:rPr>
          <w:rFonts w:ascii="Times New Roman" w:hAnsi="Times New Roman" w:cs="Times New Roman"/>
          <w:b/>
          <w:sz w:val="24"/>
          <w:szCs w:val="24"/>
        </w:rPr>
      </w:pPr>
      <w:r>
        <w:rPr>
          <w:rFonts w:ascii="Times New Roman" w:hAnsi="Times New Roman" w:cs="Times New Roman"/>
          <w:sz w:val="24"/>
          <w:szCs w:val="24"/>
        </w:rPr>
        <w:t xml:space="preserve">– </w:t>
      </w:r>
      <w:r w:rsidR="00292EA1" w:rsidRPr="00E40EF8">
        <w:rPr>
          <w:rFonts w:ascii="Times New Roman" w:hAnsi="Times New Roman" w:cs="Times New Roman"/>
          <w:sz w:val="24"/>
          <w:szCs w:val="24"/>
        </w:rPr>
        <w:t xml:space="preserve">After ten years of HCP </w:t>
      </w:r>
      <w:r w:rsidR="00A968E0" w:rsidRPr="00E40EF8">
        <w:rPr>
          <w:rFonts w:ascii="Times New Roman" w:hAnsi="Times New Roman" w:cs="Times New Roman"/>
          <w:sz w:val="24"/>
          <w:szCs w:val="24"/>
        </w:rPr>
        <w:t>evaluation action</w:t>
      </w:r>
      <w:r w:rsidR="00292EA1" w:rsidRPr="00E40EF8">
        <w:rPr>
          <w:rFonts w:ascii="Times New Roman" w:hAnsi="Times New Roman" w:cs="Times New Roman"/>
          <w:sz w:val="24"/>
          <w:szCs w:val="24"/>
        </w:rPr>
        <w:t xml:space="preserve">, the European Commission now has announced a plan to start </w:t>
      </w:r>
      <w:r w:rsidR="00A968E0" w:rsidRPr="00E40EF8">
        <w:rPr>
          <w:rFonts w:ascii="Times New Roman" w:hAnsi="Times New Roman" w:cs="Times New Roman"/>
          <w:sz w:val="24"/>
          <w:szCs w:val="24"/>
        </w:rPr>
        <w:t xml:space="preserve">its own </w:t>
      </w:r>
      <w:r w:rsidR="00292EA1" w:rsidRPr="00E40EF8">
        <w:rPr>
          <w:rFonts w:ascii="Times New Roman" w:hAnsi="Times New Roman" w:cs="Times New Roman"/>
          <w:sz w:val="24"/>
          <w:szCs w:val="24"/>
        </w:rPr>
        <w:t>assess</w:t>
      </w:r>
      <w:r w:rsidR="00A968E0" w:rsidRPr="00E40EF8">
        <w:rPr>
          <w:rFonts w:ascii="Times New Roman" w:hAnsi="Times New Roman" w:cs="Times New Roman"/>
          <w:sz w:val="24"/>
          <w:szCs w:val="24"/>
        </w:rPr>
        <w:t xml:space="preserve">ment of </w:t>
      </w:r>
      <w:r w:rsidR="00292EA1" w:rsidRPr="00E40EF8">
        <w:rPr>
          <w:rFonts w:ascii="Times New Roman" w:hAnsi="Times New Roman" w:cs="Times New Roman"/>
          <w:sz w:val="24"/>
          <w:szCs w:val="24"/>
        </w:rPr>
        <w:t>the cost efficiency of member state health systems.</w:t>
      </w:r>
      <w:r w:rsidR="00A968E0" w:rsidRPr="00E40EF8">
        <w:rPr>
          <w:rFonts w:ascii="Times New Roman" w:hAnsi="Times New Roman" w:cs="Times New Roman"/>
          <w:sz w:val="24"/>
          <w:szCs w:val="24"/>
        </w:rPr>
        <w:t xml:space="preserve"> In what way and speed EU will deliver remains to be seen but the recognition is important: open benchmarks </w:t>
      </w:r>
      <w:r w:rsidR="003B7B30" w:rsidRPr="00E40EF8">
        <w:rPr>
          <w:rFonts w:ascii="Times New Roman" w:hAnsi="Times New Roman" w:cs="Times New Roman"/>
          <w:sz w:val="24"/>
          <w:szCs w:val="24"/>
        </w:rPr>
        <w:t xml:space="preserve">do </w:t>
      </w:r>
      <w:r w:rsidR="00A968E0" w:rsidRPr="00E40EF8">
        <w:rPr>
          <w:rFonts w:ascii="Times New Roman" w:hAnsi="Times New Roman" w:cs="Times New Roman"/>
          <w:sz w:val="24"/>
          <w:szCs w:val="24"/>
        </w:rPr>
        <w:t>drive healthcare development.</w:t>
      </w:r>
      <w:r w:rsidR="003B7B30" w:rsidRPr="00E40EF8">
        <w:rPr>
          <w:rFonts w:ascii="Times New Roman" w:hAnsi="Times New Roman" w:cs="Times New Roman"/>
          <w:sz w:val="24"/>
          <w:szCs w:val="24"/>
        </w:rPr>
        <w:t xml:space="preserve"> HCP welcomes the EU engagement, says Johan Hjertqvist, HCP </w:t>
      </w:r>
      <w:r w:rsidR="0016308C">
        <w:rPr>
          <w:rFonts w:ascii="Times New Roman" w:hAnsi="Times New Roman" w:cs="Times New Roman"/>
          <w:sz w:val="24"/>
          <w:szCs w:val="24"/>
        </w:rPr>
        <w:t xml:space="preserve">founder and </w:t>
      </w:r>
      <w:r w:rsidR="003B7B30" w:rsidRPr="00E40EF8">
        <w:rPr>
          <w:rFonts w:ascii="Times New Roman" w:hAnsi="Times New Roman" w:cs="Times New Roman"/>
          <w:sz w:val="24"/>
          <w:szCs w:val="24"/>
        </w:rPr>
        <w:t>president.</w:t>
      </w:r>
    </w:p>
    <w:p w:rsidR="00A968E0" w:rsidRPr="00292EA1" w:rsidRDefault="00A968E0" w:rsidP="00A968E0">
      <w:pPr>
        <w:rPr>
          <w:rFonts w:ascii="Times New Roman" w:hAnsi="Times New Roman" w:cs="Times New Roman"/>
          <w:b/>
          <w:sz w:val="24"/>
          <w:szCs w:val="24"/>
        </w:rPr>
      </w:pPr>
      <w:r w:rsidRPr="00292EA1">
        <w:rPr>
          <w:rFonts w:ascii="Times New Roman" w:hAnsi="Times New Roman" w:cs="Times New Roman"/>
          <w:b/>
          <w:sz w:val="24"/>
          <w:szCs w:val="24"/>
        </w:rPr>
        <w:t xml:space="preserve">About the EHCI </w:t>
      </w:r>
    </w:p>
    <w:p w:rsidR="00A968E0" w:rsidRPr="00292EA1" w:rsidRDefault="00A968E0" w:rsidP="00A968E0">
      <w:pPr>
        <w:rPr>
          <w:rFonts w:ascii="Times New Roman" w:hAnsi="Times New Roman" w:cs="Times New Roman"/>
          <w:sz w:val="24"/>
          <w:szCs w:val="24"/>
        </w:rPr>
      </w:pPr>
      <w:r w:rsidRPr="00292EA1">
        <w:rPr>
          <w:rFonts w:ascii="Times New Roman" w:hAnsi="Times New Roman" w:cs="Times New Roman"/>
          <w:sz w:val="24"/>
          <w:szCs w:val="24"/>
        </w:rPr>
        <w:t>The Euro Health Consumer Index (EHCI), the independen</w:t>
      </w:r>
      <w:r>
        <w:rPr>
          <w:rFonts w:ascii="Times New Roman" w:hAnsi="Times New Roman" w:cs="Times New Roman"/>
          <w:sz w:val="24"/>
          <w:szCs w:val="24"/>
        </w:rPr>
        <w:t>t monitoring of healthcare in 35 countries, published its 9</w:t>
      </w:r>
      <w:r w:rsidRPr="00E40EF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40EF8">
        <w:rPr>
          <w:rFonts w:ascii="Times New Roman" w:hAnsi="Times New Roman" w:cs="Times New Roman"/>
          <w:sz w:val="24"/>
          <w:szCs w:val="24"/>
        </w:rPr>
        <w:t>edition o</w:t>
      </w:r>
      <w:r>
        <w:rPr>
          <w:rFonts w:ascii="Times New Roman" w:hAnsi="Times New Roman" w:cs="Times New Roman"/>
          <w:sz w:val="24"/>
          <w:szCs w:val="24"/>
        </w:rPr>
        <w:t>n January 26</w:t>
      </w:r>
      <w:r w:rsidR="00D6094B">
        <w:rPr>
          <w:rFonts w:ascii="Times New Roman" w:hAnsi="Times New Roman" w:cs="Times New Roman"/>
          <w:sz w:val="24"/>
          <w:szCs w:val="24"/>
        </w:rPr>
        <w:t>,</w:t>
      </w:r>
      <w:r w:rsidRPr="00292EA1">
        <w:rPr>
          <w:rFonts w:ascii="Times New Roman" w:hAnsi="Times New Roman" w:cs="Times New Roman"/>
          <w:sz w:val="24"/>
          <w:szCs w:val="24"/>
        </w:rPr>
        <w:t xml:space="preserve"> </w:t>
      </w:r>
      <w:r>
        <w:rPr>
          <w:rFonts w:ascii="Times New Roman" w:hAnsi="Times New Roman" w:cs="Times New Roman"/>
          <w:sz w:val="24"/>
          <w:szCs w:val="24"/>
        </w:rPr>
        <w:t xml:space="preserve">2016. </w:t>
      </w:r>
      <w:r w:rsidRPr="00292EA1">
        <w:rPr>
          <w:rFonts w:ascii="Times New Roman" w:hAnsi="Times New Roman" w:cs="Times New Roman"/>
          <w:sz w:val="24"/>
          <w:szCs w:val="24"/>
        </w:rPr>
        <w:t>Since 2006</w:t>
      </w:r>
      <w:r w:rsidR="00E40EF8">
        <w:rPr>
          <w:rFonts w:ascii="Times New Roman" w:hAnsi="Times New Roman" w:cs="Times New Roman"/>
          <w:sz w:val="24"/>
          <w:szCs w:val="24"/>
        </w:rPr>
        <w:t>,</w:t>
      </w:r>
      <w:r w:rsidRPr="00292EA1">
        <w:rPr>
          <w:rFonts w:ascii="Times New Roman" w:hAnsi="Times New Roman" w:cs="Times New Roman"/>
          <w:sz w:val="24"/>
          <w:szCs w:val="24"/>
        </w:rPr>
        <w:t xml:space="preserve"> this comparison of key values in healthcare, taking the patient and consumer point of view, has improved the understanding of European healthcare, empowered patients and helped addressing weaknesses. EHCI, and a wide range of disease-specific studies produced by the Health Consumer Powerhouse Ltd. (HCP)</w:t>
      </w:r>
      <w:r w:rsidR="0016308C">
        <w:rPr>
          <w:rFonts w:ascii="Times New Roman" w:hAnsi="Times New Roman" w:cs="Times New Roman"/>
          <w:sz w:val="24"/>
          <w:szCs w:val="24"/>
        </w:rPr>
        <w:t>,</w:t>
      </w:r>
      <w:r w:rsidRPr="00292EA1">
        <w:rPr>
          <w:rFonts w:ascii="Times New Roman" w:hAnsi="Times New Roman" w:cs="Times New Roman"/>
          <w:sz w:val="24"/>
          <w:szCs w:val="24"/>
        </w:rPr>
        <w:t xml:space="preserve"> set standards for what could and should be achieved by modern, well-serving healthcare. The 50 Index productions are freely available </w:t>
      </w:r>
      <w:r w:rsidR="00B25986">
        <w:rPr>
          <w:rFonts w:ascii="Times New Roman" w:hAnsi="Times New Roman" w:cs="Times New Roman"/>
          <w:sz w:val="24"/>
          <w:szCs w:val="24"/>
        </w:rPr>
        <w:t>on</w:t>
      </w:r>
      <w:r w:rsidRPr="00292EA1">
        <w:rPr>
          <w:rFonts w:ascii="Times New Roman" w:hAnsi="Times New Roman" w:cs="Times New Roman"/>
          <w:sz w:val="24"/>
          <w:szCs w:val="24"/>
        </w:rPr>
        <w:t xml:space="preserve"> </w:t>
      </w:r>
      <w:hyperlink r:id="rId9" w:history="1">
        <w:r w:rsidR="00B25986" w:rsidRPr="006557AA">
          <w:rPr>
            <w:rStyle w:val="Hyperlink"/>
            <w:rFonts w:ascii="Times New Roman" w:hAnsi="Times New Roman" w:cs="Times New Roman"/>
            <w:b/>
            <w:sz w:val="24"/>
            <w:szCs w:val="24"/>
          </w:rPr>
          <w:t>www.healthpowerhouse.com</w:t>
        </w:r>
      </w:hyperlink>
      <w:r w:rsidR="00B25986">
        <w:rPr>
          <w:rFonts w:ascii="Times New Roman" w:hAnsi="Times New Roman" w:cs="Times New Roman"/>
          <w:b/>
          <w:sz w:val="24"/>
          <w:szCs w:val="24"/>
        </w:rPr>
        <w:t xml:space="preserve"> </w:t>
      </w:r>
      <w:r w:rsidRPr="00292EA1">
        <w:rPr>
          <w:rFonts w:ascii="Times New Roman" w:hAnsi="Times New Roman" w:cs="Times New Roman"/>
          <w:sz w:val="24"/>
          <w:szCs w:val="24"/>
        </w:rPr>
        <w:t>.</w:t>
      </w:r>
    </w:p>
    <w:p w:rsidR="002E48FB" w:rsidRDefault="00A968E0">
      <w:pPr>
        <w:rPr>
          <w:rFonts w:ascii="Times New Roman" w:hAnsi="Times New Roman" w:cs="Times New Roman"/>
          <w:sz w:val="24"/>
          <w:szCs w:val="24"/>
        </w:rPr>
      </w:pPr>
      <w:r>
        <w:rPr>
          <w:rFonts w:ascii="Times New Roman" w:hAnsi="Times New Roman" w:cs="Times New Roman"/>
          <w:sz w:val="24"/>
          <w:szCs w:val="24"/>
        </w:rPr>
        <w:t>For information and comments:</w:t>
      </w:r>
    </w:p>
    <w:p w:rsidR="00A968E0" w:rsidRPr="00194863" w:rsidRDefault="00A968E0">
      <w:pPr>
        <w:rPr>
          <w:rFonts w:ascii="Times New Roman" w:hAnsi="Times New Roman" w:cs="Times New Roman"/>
          <w:sz w:val="24"/>
          <w:szCs w:val="24"/>
        </w:rPr>
      </w:pPr>
      <w:r w:rsidRPr="00194863">
        <w:rPr>
          <w:rFonts w:ascii="Times New Roman" w:hAnsi="Times New Roman" w:cs="Times New Roman"/>
          <w:sz w:val="24"/>
          <w:szCs w:val="24"/>
        </w:rPr>
        <w:t xml:space="preserve">Professor Arne Bjornberg, </w:t>
      </w:r>
      <w:r w:rsidR="002E6D92" w:rsidRPr="00194863">
        <w:rPr>
          <w:rFonts w:ascii="Times New Roman" w:hAnsi="Times New Roman" w:cs="Times New Roman"/>
          <w:color w:val="000000" w:themeColor="text1"/>
          <w:sz w:val="24"/>
          <w:szCs w:val="24"/>
        </w:rPr>
        <w:t>+46 70 584 84 51;</w:t>
      </w:r>
      <w:r w:rsidR="002E6D92" w:rsidRPr="00194863">
        <w:rPr>
          <w:rFonts w:ascii="Times New Roman" w:hAnsi="Times New Roman" w:cs="Times New Roman"/>
          <w:color w:val="FF0000"/>
          <w:sz w:val="24"/>
          <w:szCs w:val="24"/>
        </w:rPr>
        <w:t xml:space="preserve"> </w:t>
      </w:r>
      <w:hyperlink r:id="rId10">
        <w:r w:rsidR="002E6D92" w:rsidRPr="00194863">
          <w:rPr>
            <w:rStyle w:val="Hyperlink"/>
            <w:rFonts w:ascii="Times New Roman" w:hAnsi="Times New Roman" w:cs="Times New Roman"/>
            <w:color w:val="3333FF"/>
            <w:sz w:val="24"/>
            <w:szCs w:val="24"/>
          </w:rPr>
          <w:t>arne.bjornberg@healthpowerhouse.com</w:t>
        </w:r>
      </w:hyperlink>
    </w:p>
    <w:p w:rsidR="002E6D92" w:rsidRPr="0016308C" w:rsidRDefault="004B4D3B" w:rsidP="002E6D92">
      <w:pPr>
        <w:rPr>
          <w:rFonts w:ascii="Times New Roman" w:hAnsi="Times New Roman" w:cs="Times New Roman"/>
          <w:sz w:val="24"/>
          <w:szCs w:val="24"/>
          <w:lang w:val="sv-SE"/>
        </w:rPr>
      </w:pPr>
      <w:r>
        <w:rPr>
          <w:rFonts w:ascii="Times New Roman" w:hAnsi="Times New Roman" w:cs="Times New Roman"/>
          <w:sz w:val="24"/>
          <w:szCs w:val="24"/>
          <w:lang w:val="sv-SE"/>
        </w:rPr>
        <w:t>President Johan Hjertqvist, +46</w:t>
      </w:r>
      <w:r w:rsidR="00A968E0" w:rsidRPr="0016308C">
        <w:rPr>
          <w:rFonts w:ascii="Times New Roman" w:hAnsi="Times New Roman" w:cs="Times New Roman"/>
          <w:sz w:val="24"/>
          <w:szCs w:val="24"/>
          <w:lang w:val="sv-SE"/>
        </w:rPr>
        <w:t xml:space="preserve"> 7</w:t>
      </w:r>
      <w:r w:rsidR="0016308C">
        <w:rPr>
          <w:rFonts w:ascii="Times New Roman" w:hAnsi="Times New Roman" w:cs="Times New Roman"/>
          <w:sz w:val="24"/>
          <w:szCs w:val="24"/>
          <w:lang w:val="sv-SE"/>
        </w:rPr>
        <w:t>0 7</w:t>
      </w:r>
      <w:r w:rsidR="00A968E0" w:rsidRPr="0016308C">
        <w:rPr>
          <w:rFonts w:ascii="Times New Roman" w:hAnsi="Times New Roman" w:cs="Times New Roman"/>
          <w:sz w:val="24"/>
          <w:szCs w:val="24"/>
          <w:lang w:val="sv-SE"/>
        </w:rPr>
        <w:t>52 18 99</w:t>
      </w:r>
      <w:r w:rsidR="002E6D92" w:rsidRPr="0016308C">
        <w:rPr>
          <w:rFonts w:ascii="Times New Roman" w:hAnsi="Times New Roman" w:cs="Times New Roman"/>
          <w:sz w:val="24"/>
          <w:szCs w:val="24"/>
          <w:lang w:val="sv-SE"/>
        </w:rPr>
        <w:t xml:space="preserve">; </w:t>
      </w:r>
      <w:hyperlink r:id="rId11">
        <w:r w:rsidR="002E6D92" w:rsidRPr="0016308C">
          <w:rPr>
            <w:rStyle w:val="Hyperlink"/>
            <w:rFonts w:ascii="Times New Roman" w:hAnsi="Times New Roman" w:cs="Times New Roman"/>
            <w:color w:val="3333FF"/>
            <w:sz w:val="24"/>
            <w:szCs w:val="24"/>
            <w:lang w:val="sv-SE"/>
          </w:rPr>
          <w:t>johan.hjertqvist@healthpowerhouse.com</w:t>
        </w:r>
      </w:hyperlink>
    </w:p>
    <w:p w:rsidR="00A968E0" w:rsidRPr="0016308C" w:rsidRDefault="00A968E0">
      <w:pPr>
        <w:rPr>
          <w:rFonts w:ascii="Times New Roman" w:hAnsi="Times New Roman" w:cs="Times New Roman"/>
          <w:sz w:val="24"/>
          <w:szCs w:val="24"/>
          <w:lang w:val="sv-SE"/>
        </w:rPr>
      </w:pPr>
    </w:p>
    <w:p w:rsidR="00BB7550" w:rsidRPr="0016308C" w:rsidRDefault="00BB7550">
      <w:pPr>
        <w:rPr>
          <w:rFonts w:ascii="Times New Roman" w:hAnsi="Times New Roman" w:cs="Times New Roman"/>
          <w:sz w:val="24"/>
          <w:szCs w:val="24"/>
          <w:lang w:val="sv-SE"/>
        </w:rPr>
      </w:pPr>
    </w:p>
    <w:p w:rsidR="00BB7550" w:rsidRPr="00BB7550" w:rsidRDefault="00BB7550" w:rsidP="00BB7550">
      <w:pPr>
        <w:rPr>
          <w:rFonts w:ascii="Times New Roman" w:hAnsi="Times New Roman" w:cs="Times New Roman"/>
          <w:sz w:val="24"/>
          <w:szCs w:val="24"/>
        </w:rPr>
      </w:pPr>
      <w:r w:rsidRPr="00BB7550">
        <w:rPr>
          <w:rFonts w:ascii="Times New Roman" w:hAnsi="Times New Roman" w:cs="Times New Roman"/>
          <w:sz w:val="24"/>
          <w:szCs w:val="24"/>
        </w:rPr>
        <w:t>© HPC Ltd. 2016</w:t>
      </w:r>
    </w:p>
    <w:p w:rsidR="000973E3" w:rsidRPr="00194863" w:rsidRDefault="000973E3">
      <w:pPr>
        <w:rPr>
          <w:rFonts w:ascii="Times New Roman" w:hAnsi="Times New Roman" w:cs="Times New Roman"/>
          <w:sz w:val="24"/>
          <w:szCs w:val="24"/>
        </w:rPr>
      </w:pPr>
    </w:p>
    <w:sectPr w:rsidR="000973E3" w:rsidRPr="00194863" w:rsidSect="00391797">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AA0" w:rsidRDefault="009D4AA0" w:rsidP="00177D52">
      <w:pPr>
        <w:spacing w:after="0" w:line="240" w:lineRule="auto"/>
      </w:pPr>
      <w:r>
        <w:separator/>
      </w:r>
    </w:p>
  </w:endnote>
  <w:endnote w:type="continuationSeparator" w:id="0">
    <w:p w:rsidR="009D4AA0" w:rsidRDefault="009D4AA0" w:rsidP="0017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204582"/>
      <w:docPartObj>
        <w:docPartGallery w:val="Page Numbers (Bottom of Page)"/>
        <w:docPartUnique/>
      </w:docPartObj>
    </w:sdtPr>
    <w:sdtEndPr/>
    <w:sdtContent>
      <w:p w:rsidR="0092031A" w:rsidRDefault="00CE78B1">
        <w:pPr>
          <w:pStyle w:val="Footer"/>
          <w:jc w:val="right"/>
        </w:pPr>
        <w:r>
          <w:fldChar w:fldCharType="begin"/>
        </w:r>
        <w:r w:rsidR="0001454B">
          <w:instrText xml:space="preserve"> PAGE   \* MERGEFORMAT </w:instrText>
        </w:r>
        <w:r>
          <w:fldChar w:fldCharType="separate"/>
        </w:r>
        <w:r w:rsidR="00F2528E">
          <w:rPr>
            <w:noProof/>
          </w:rPr>
          <w:t>1</w:t>
        </w:r>
        <w:r>
          <w:rPr>
            <w:noProof/>
          </w:rPr>
          <w:fldChar w:fldCharType="end"/>
        </w:r>
      </w:p>
    </w:sdtContent>
  </w:sdt>
  <w:p w:rsidR="0092031A" w:rsidRDefault="0092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AA0" w:rsidRDefault="009D4AA0" w:rsidP="00177D52">
      <w:pPr>
        <w:spacing w:after="0" w:line="240" w:lineRule="auto"/>
      </w:pPr>
      <w:r>
        <w:separator/>
      </w:r>
    </w:p>
  </w:footnote>
  <w:footnote w:type="continuationSeparator" w:id="0">
    <w:p w:rsidR="009D4AA0" w:rsidRDefault="009D4AA0" w:rsidP="00177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BD4163E"/>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pStyle w:val="Heading3"/>
      <w:suff w:val="nothing"/>
      <w:lvlText w:val="%1.%2.%3"/>
      <w:lvlJc w:val="left"/>
      <w:pPr>
        <w:tabs>
          <w:tab w:val="num" w:pos="568"/>
        </w:tabs>
        <w:ind w:left="568" w:firstLine="0"/>
      </w:pPr>
      <w:rPr>
        <w:lang w:val="en-GB"/>
      </w:rPr>
    </w:lvl>
    <w:lvl w:ilvl="3">
      <w:start w:val="1"/>
      <w:numFmt w:val="decimal"/>
      <w:pStyle w:val="Heading4"/>
      <w:suff w:val="nothing"/>
      <w:lvlText w:val="%1.%2.%3.%4"/>
      <w:lvlJc w:val="left"/>
      <w:pPr>
        <w:tabs>
          <w:tab w:val="num" w:pos="360"/>
        </w:tabs>
        <w:ind w:left="360" w:firstLine="0"/>
      </w:pPr>
    </w:lvl>
    <w:lvl w:ilvl="4">
      <w:start w:val="1"/>
      <w:numFmt w:val="decimal"/>
      <w:pStyle w:val="Heading5"/>
      <w:suff w:val="nothing"/>
      <w:lvlText w:val="%1.%2.%3.%4.%5"/>
      <w:lvlJc w:val="left"/>
      <w:pPr>
        <w:tabs>
          <w:tab w:val="num" w:pos="0"/>
        </w:tabs>
        <w:ind w:left="0" w:firstLine="0"/>
      </w:pPr>
    </w:lvl>
    <w:lvl w:ilvl="5">
      <w:start w:val="1"/>
      <w:numFmt w:val="decimal"/>
      <w:pStyle w:val="Heading6"/>
      <w:suff w:val="nothing"/>
      <w:lvlText w:val="%1.%2.%3.%4.%5.%6"/>
      <w:lvlJc w:val="left"/>
      <w:pPr>
        <w:tabs>
          <w:tab w:val="num" w:pos="0"/>
        </w:tabs>
        <w:ind w:left="0" w:firstLine="0"/>
      </w:pPr>
    </w:lvl>
    <w:lvl w:ilvl="6">
      <w:start w:val="1"/>
      <w:numFmt w:val="decimal"/>
      <w:pStyle w:val="Heading7"/>
      <w:suff w:val="nothing"/>
      <w:lvlText w:val="%1.%2.%3.%4.%5.%6.%7"/>
      <w:lvlJc w:val="left"/>
      <w:pPr>
        <w:tabs>
          <w:tab w:val="num" w:pos="0"/>
        </w:tabs>
        <w:ind w:left="0" w:firstLine="0"/>
      </w:pPr>
    </w:lvl>
    <w:lvl w:ilvl="7">
      <w:start w:val="1"/>
      <w:numFmt w:val="decimal"/>
      <w:pStyle w:val="Heading8"/>
      <w:suff w:val="nothing"/>
      <w:lvlText w:val="%1.%2.%3.%4.%5.%6.%7.%8"/>
      <w:lvlJc w:val="left"/>
      <w:pPr>
        <w:tabs>
          <w:tab w:val="num" w:pos="0"/>
        </w:tabs>
        <w:ind w:left="0" w:firstLine="0"/>
      </w:pPr>
    </w:lvl>
    <w:lvl w:ilvl="8">
      <w:start w:val="1"/>
      <w:numFmt w:val="decimal"/>
      <w:pStyle w:val="Heading9"/>
      <w:suff w:val="nothing"/>
      <w:lvlText w:val="%1.%2.%3.%4.%5.%6.%7.%8.%9"/>
      <w:lvlJc w:val="left"/>
      <w:pPr>
        <w:tabs>
          <w:tab w:val="num" w:pos="0"/>
        </w:tabs>
        <w:ind w:left="0" w:firstLine="0"/>
      </w:pPr>
    </w:lvl>
  </w:abstractNum>
  <w:abstractNum w:abstractNumId="1">
    <w:nsid w:val="2403436B"/>
    <w:multiLevelType w:val="hybridMultilevel"/>
    <w:tmpl w:val="5D6EDDAA"/>
    <w:lvl w:ilvl="0" w:tplc="72A6E1A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0D3185"/>
    <w:multiLevelType w:val="hybridMultilevel"/>
    <w:tmpl w:val="FE60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90E16"/>
    <w:multiLevelType w:val="hybridMultilevel"/>
    <w:tmpl w:val="E50A772E"/>
    <w:lvl w:ilvl="0" w:tplc="60F4F1C0">
      <w:start w:val="2"/>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A30A18"/>
    <w:multiLevelType w:val="hybridMultilevel"/>
    <w:tmpl w:val="DF80B556"/>
    <w:lvl w:ilvl="0" w:tplc="E3C0CA6A">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A067ED0"/>
    <w:multiLevelType w:val="hybridMultilevel"/>
    <w:tmpl w:val="0D4A15EA"/>
    <w:lvl w:ilvl="0" w:tplc="C718A1AE">
      <w:start w:val="2"/>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B4"/>
    <w:rsid w:val="00000FE7"/>
    <w:rsid w:val="00001C07"/>
    <w:rsid w:val="000020EA"/>
    <w:rsid w:val="0000269E"/>
    <w:rsid w:val="00003B1D"/>
    <w:rsid w:val="00006621"/>
    <w:rsid w:val="0000692D"/>
    <w:rsid w:val="000072D7"/>
    <w:rsid w:val="00010DF2"/>
    <w:rsid w:val="000116C4"/>
    <w:rsid w:val="00012264"/>
    <w:rsid w:val="0001332B"/>
    <w:rsid w:val="0001454B"/>
    <w:rsid w:val="000149FB"/>
    <w:rsid w:val="00015323"/>
    <w:rsid w:val="000158F0"/>
    <w:rsid w:val="00017C35"/>
    <w:rsid w:val="000211CC"/>
    <w:rsid w:val="00021AB2"/>
    <w:rsid w:val="00021EE7"/>
    <w:rsid w:val="00022D77"/>
    <w:rsid w:val="0002370A"/>
    <w:rsid w:val="00024B49"/>
    <w:rsid w:val="000250FB"/>
    <w:rsid w:val="00030093"/>
    <w:rsid w:val="0003028A"/>
    <w:rsid w:val="000303BF"/>
    <w:rsid w:val="000303F7"/>
    <w:rsid w:val="00030ABB"/>
    <w:rsid w:val="000374E2"/>
    <w:rsid w:val="00041F94"/>
    <w:rsid w:val="00042108"/>
    <w:rsid w:val="000429E8"/>
    <w:rsid w:val="000439B7"/>
    <w:rsid w:val="00044137"/>
    <w:rsid w:val="00046802"/>
    <w:rsid w:val="000501A5"/>
    <w:rsid w:val="00052328"/>
    <w:rsid w:val="00055C7E"/>
    <w:rsid w:val="000662A1"/>
    <w:rsid w:val="000666BA"/>
    <w:rsid w:val="000668E9"/>
    <w:rsid w:val="0006745D"/>
    <w:rsid w:val="000710D9"/>
    <w:rsid w:val="0007202A"/>
    <w:rsid w:val="00074CA8"/>
    <w:rsid w:val="00075367"/>
    <w:rsid w:val="00075FB4"/>
    <w:rsid w:val="00082551"/>
    <w:rsid w:val="00085C50"/>
    <w:rsid w:val="00090079"/>
    <w:rsid w:val="00090D1B"/>
    <w:rsid w:val="00090FB1"/>
    <w:rsid w:val="00091560"/>
    <w:rsid w:val="0009161D"/>
    <w:rsid w:val="000918E9"/>
    <w:rsid w:val="0009280D"/>
    <w:rsid w:val="000943BB"/>
    <w:rsid w:val="00094678"/>
    <w:rsid w:val="00095296"/>
    <w:rsid w:val="00096565"/>
    <w:rsid w:val="000973E3"/>
    <w:rsid w:val="000A0371"/>
    <w:rsid w:val="000A20BE"/>
    <w:rsid w:val="000A254E"/>
    <w:rsid w:val="000A4100"/>
    <w:rsid w:val="000A6F9F"/>
    <w:rsid w:val="000A7BE4"/>
    <w:rsid w:val="000B27C1"/>
    <w:rsid w:val="000B7C2B"/>
    <w:rsid w:val="000C12CB"/>
    <w:rsid w:val="000C31DF"/>
    <w:rsid w:val="000C40A1"/>
    <w:rsid w:val="000C43F3"/>
    <w:rsid w:val="000C4ED9"/>
    <w:rsid w:val="000C5E76"/>
    <w:rsid w:val="000C790E"/>
    <w:rsid w:val="000D3E5B"/>
    <w:rsid w:val="000D4BA8"/>
    <w:rsid w:val="000E290E"/>
    <w:rsid w:val="000E43C2"/>
    <w:rsid w:val="000E44D9"/>
    <w:rsid w:val="000E46BC"/>
    <w:rsid w:val="000F1F86"/>
    <w:rsid w:val="000F34F5"/>
    <w:rsid w:val="000F4919"/>
    <w:rsid w:val="000F61D1"/>
    <w:rsid w:val="00100BC4"/>
    <w:rsid w:val="00104791"/>
    <w:rsid w:val="00105A2F"/>
    <w:rsid w:val="00107549"/>
    <w:rsid w:val="0011003F"/>
    <w:rsid w:val="00112110"/>
    <w:rsid w:val="0011266A"/>
    <w:rsid w:val="00114CD9"/>
    <w:rsid w:val="001265B2"/>
    <w:rsid w:val="00127DD0"/>
    <w:rsid w:val="00127F82"/>
    <w:rsid w:val="0013001F"/>
    <w:rsid w:val="0013206E"/>
    <w:rsid w:val="00133AB8"/>
    <w:rsid w:val="001358F0"/>
    <w:rsid w:val="00135931"/>
    <w:rsid w:val="00136DA5"/>
    <w:rsid w:val="00136DB8"/>
    <w:rsid w:val="00141B6F"/>
    <w:rsid w:val="00143289"/>
    <w:rsid w:val="0014392A"/>
    <w:rsid w:val="00145976"/>
    <w:rsid w:val="0014697F"/>
    <w:rsid w:val="001536D0"/>
    <w:rsid w:val="00154959"/>
    <w:rsid w:val="00155EBB"/>
    <w:rsid w:val="00156998"/>
    <w:rsid w:val="00157DB0"/>
    <w:rsid w:val="0016129A"/>
    <w:rsid w:val="0016308C"/>
    <w:rsid w:val="00163465"/>
    <w:rsid w:val="0016475A"/>
    <w:rsid w:val="00164FF2"/>
    <w:rsid w:val="0016541F"/>
    <w:rsid w:val="001678D3"/>
    <w:rsid w:val="00176164"/>
    <w:rsid w:val="00176AC1"/>
    <w:rsid w:val="0017724D"/>
    <w:rsid w:val="00177D52"/>
    <w:rsid w:val="00180B9E"/>
    <w:rsid w:val="001811EA"/>
    <w:rsid w:val="0019138D"/>
    <w:rsid w:val="00191F11"/>
    <w:rsid w:val="00192E50"/>
    <w:rsid w:val="00193ED2"/>
    <w:rsid w:val="00194863"/>
    <w:rsid w:val="00195562"/>
    <w:rsid w:val="00197E70"/>
    <w:rsid w:val="001A13A5"/>
    <w:rsid w:val="001A2169"/>
    <w:rsid w:val="001A6837"/>
    <w:rsid w:val="001A7AF8"/>
    <w:rsid w:val="001B1868"/>
    <w:rsid w:val="001B3D89"/>
    <w:rsid w:val="001B4A28"/>
    <w:rsid w:val="001B7F88"/>
    <w:rsid w:val="001C1332"/>
    <w:rsid w:val="001D1919"/>
    <w:rsid w:val="001D44ED"/>
    <w:rsid w:val="001D60B8"/>
    <w:rsid w:val="001D6F6F"/>
    <w:rsid w:val="001E0BA2"/>
    <w:rsid w:val="001E1ED4"/>
    <w:rsid w:val="001E2481"/>
    <w:rsid w:val="001E5E2A"/>
    <w:rsid w:val="001E7527"/>
    <w:rsid w:val="001E7CB3"/>
    <w:rsid w:val="001F0E3A"/>
    <w:rsid w:val="001F0F0B"/>
    <w:rsid w:val="001F61AD"/>
    <w:rsid w:val="002004EB"/>
    <w:rsid w:val="00200930"/>
    <w:rsid w:val="00201315"/>
    <w:rsid w:val="00203E8B"/>
    <w:rsid w:val="00204028"/>
    <w:rsid w:val="00206A32"/>
    <w:rsid w:val="002100FE"/>
    <w:rsid w:val="00210DAC"/>
    <w:rsid w:val="00210E49"/>
    <w:rsid w:val="00211849"/>
    <w:rsid w:val="00212BC9"/>
    <w:rsid w:val="00216F75"/>
    <w:rsid w:val="002216F1"/>
    <w:rsid w:val="00221864"/>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425D"/>
    <w:rsid w:val="002656EB"/>
    <w:rsid w:val="00265B1B"/>
    <w:rsid w:val="00267603"/>
    <w:rsid w:val="00276D8E"/>
    <w:rsid w:val="00277FF1"/>
    <w:rsid w:val="00281914"/>
    <w:rsid w:val="002857F3"/>
    <w:rsid w:val="0029005A"/>
    <w:rsid w:val="00292EA1"/>
    <w:rsid w:val="002A1701"/>
    <w:rsid w:val="002A1881"/>
    <w:rsid w:val="002A3E27"/>
    <w:rsid w:val="002A4ED8"/>
    <w:rsid w:val="002A6837"/>
    <w:rsid w:val="002A70CB"/>
    <w:rsid w:val="002B142B"/>
    <w:rsid w:val="002B231A"/>
    <w:rsid w:val="002B3080"/>
    <w:rsid w:val="002B4C8F"/>
    <w:rsid w:val="002B6862"/>
    <w:rsid w:val="002B6891"/>
    <w:rsid w:val="002B68B1"/>
    <w:rsid w:val="002B7636"/>
    <w:rsid w:val="002C10E5"/>
    <w:rsid w:val="002C1B3B"/>
    <w:rsid w:val="002C1CD7"/>
    <w:rsid w:val="002C20F7"/>
    <w:rsid w:val="002C660D"/>
    <w:rsid w:val="002D1D10"/>
    <w:rsid w:val="002D3F2D"/>
    <w:rsid w:val="002D44CC"/>
    <w:rsid w:val="002D59F4"/>
    <w:rsid w:val="002E48FB"/>
    <w:rsid w:val="002E6D92"/>
    <w:rsid w:val="002E72FE"/>
    <w:rsid w:val="002E7E4F"/>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38E2"/>
    <w:rsid w:val="003B401E"/>
    <w:rsid w:val="003B4D52"/>
    <w:rsid w:val="003B5CF3"/>
    <w:rsid w:val="003B7285"/>
    <w:rsid w:val="003B7B30"/>
    <w:rsid w:val="003C11FB"/>
    <w:rsid w:val="003C267C"/>
    <w:rsid w:val="003C42DD"/>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5A44"/>
    <w:rsid w:val="004077D9"/>
    <w:rsid w:val="00412295"/>
    <w:rsid w:val="00414874"/>
    <w:rsid w:val="004177AD"/>
    <w:rsid w:val="004221EF"/>
    <w:rsid w:val="00422943"/>
    <w:rsid w:val="004247ED"/>
    <w:rsid w:val="00424928"/>
    <w:rsid w:val="00424C4B"/>
    <w:rsid w:val="00431669"/>
    <w:rsid w:val="0043445E"/>
    <w:rsid w:val="00437768"/>
    <w:rsid w:val="00437E44"/>
    <w:rsid w:val="00440251"/>
    <w:rsid w:val="00441ACF"/>
    <w:rsid w:val="004424B3"/>
    <w:rsid w:val="004517B6"/>
    <w:rsid w:val="004549B5"/>
    <w:rsid w:val="004554BF"/>
    <w:rsid w:val="004624A2"/>
    <w:rsid w:val="0046320C"/>
    <w:rsid w:val="004632A5"/>
    <w:rsid w:val="0046382E"/>
    <w:rsid w:val="00464BD4"/>
    <w:rsid w:val="00465740"/>
    <w:rsid w:val="00465AE2"/>
    <w:rsid w:val="00466189"/>
    <w:rsid w:val="0046678D"/>
    <w:rsid w:val="00466A2F"/>
    <w:rsid w:val="0047152B"/>
    <w:rsid w:val="00471CAF"/>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3754"/>
    <w:rsid w:val="004B4D3B"/>
    <w:rsid w:val="004B50EB"/>
    <w:rsid w:val="004B6706"/>
    <w:rsid w:val="004B710E"/>
    <w:rsid w:val="004C0282"/>
    <w:rsid w:val="004C096A"/>
    <w:rsid w:val="004C0A47"/>
    <w:rsid w:val="004C26A5"/>
    <w:rsid w:val="004C2CEB"/>
    <w:rsid w:val="004C3085"/>
    <w:rsid w:val="004C36F1"/>
    <w:rsid w:val="004C468B"/>
    <w:rsid w:val="004C5346"/>
    <w:rsid w:val="004C689C"/>
    <w:rsid w:val="004D0B6A"/>
    <w:rsid w:val="004D348D"/>
    <w:rsid w:val="004D3FDE"/>
    <w:rsid w:val="004D4024"/>
    <w:rsid w:val="004D612D"/>
    <w:rsid w:val="004E1870"/>
    <w:rsid w:val="004E264F"/>
    <w:rsid w:val="004F2E21"/>
    <w:rsid w:val="004F60CA"/>
    <w:rsid w:val="004F622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37F"/>
    <w:rsid w:val="00525402"/>
    <w:rsid w:val="00526C8C"/>
    <w:rsid w:val="00530DE5"/>
    <w:rsid w:val="005325B7"/>
    <w:rsid w:val="00533A2B"/>
    <w:rsid w:val="00534921"/>
    <w:rsid w:val="00537C12"/>
    <w:rsid w:val="00540041"/>
    <w:rsid w:val="00540EA1"/>
    <w:rsid w:val="0054205F"/>
    <w:rsid w:val="005421B4"/>
    <w:rsid w:val="0054553B"/>
    <w:rsid w:val="00545B8F"/>
    <w:rsid w:val="00546C05"/>
    <w:rsid w:val="005511BB"/>
    <w:rsid w:val="0055371B"/>
    <w:rsid w:val="00553E2E"/>
    <w:rsid w:val="005543FE"/>
    <w:rsid w:val="00555C2E"/>
    <w:rsid w:val="00557986"/>
    <w:rsid w:val="00562289"/>
    <w:rsid w:val="0056568E"/>
    <w:rsid w:val="00567AB2"/>
    <w:rsid w:val="00573B1A"/>
    <w:rsid w:val="00573D47"/>
    <w:rsid w:val="005757A7"/>
    <w:rsid w:val="00575FCB"/>
    <w:rsid w:val="00577A0D"/>
    <w:rsid w:val="00580D06"/>
    <w:rsid w:val="00587DB1"/>
    <w:rsid w:val="005913E6"/>
    <w:rsid w:val="00591601"/>
    <w:rsid w:val="0059230E"/>
    <w:rsid w:val="0059280C"/>
    <w:rsid w:val="00592FA5"/>
    <w:rsid w:val="0059310F"/>
    <w:rsid w:val="0059450E"/>
    <w:rsid w:val="005A1E82"/>
    <w:rsid w:val="005A1FBD"/>
    <w:rsid w:val="005A32F0"/>
    <w:rsid w:val="005A6791"/>
    <w:rsid w:val="005A7F88"/>
    <w:rsid w:val="005B0932"/>
    <w:rsid w:val="005B3321"/>
    <w:rsid w:val="005B5B0E"/>
    <w:rsid w:val="005B6BD1"/>
    <w:rsid w:val="005B6CF3"/>
    <w:rsid w:val="005B6E7E"/>
    <w:rsid w:val="005C07CC"/>
    <w:rsid w:val="005C0A1E"/>
    <w:rsid w:val="005C189A"/>
    <w:rsid w:val="005C2D71"/>
    <w:rsid w:val="005C349A"/>
    <w:rsid w:val="005C3EE2"/>
    <w:rsid w:val="005C450C"/>
    <w:rsid w:val="005C64A1"/>
    <w:rsid w:val="005C6FEA"/>
    <w:rsid w:val="005C7791"/>
    <w:rsid w:val="005D2D6C"/>
    <w:rsid w:val="005D412E"/>
    <w:rsid w:val="005D4C45"/>
    <w:rsid w:val="005E23B7"/>
    <w:rsid w:val="005E5D89"/>
    <w:rsid w:val="005F660D"/>
    <w:rsid w:val="005F7F56"/>
    <w:rsid w:val="00600937"/>
    <w:rsid w:val="00600BBC"/>
    <w:rsid w:val="006024DB"/>
    <w:rsid w:val="00605459"/>
    <w:rsid w:val="0060614C"/>
    <w:rsid w:val="00610A9A"/>
    <w:rsid w:val="006119F4"/>
    <w:rsid w:val="00611BA9"/>
    <w:rsid w:val="00612D70"/>
    <w:rsid w:val="00613B37"/>
    <w:rsid w:val="00613E7B"/>
    <w:rsid w:val="00615399"/>
    <w:rsid w:val="00615691"/>
    <w:rsid w:val="006205F9"/>
    <w:rsid w:val="00621CEC"/>
    <w:rsid w:val="0062373D"/>
    <w:rsid w:val="0062463B"/>
    <w:rsid w:val="00625439"/>
    <w:rsid w:val="00625708"/>
    <w:rsid w:val="00625A76"/>
    <w:rsid w:val="00626D3D"/>
    <w:rsid w:val="00631D29"/>
    <w:rsid w:val="006323AC"/>
    <w:rsid w:val="006343B5"/>
    <w:rsid w:val="00641CDB"/>
    <w:rsid w:val="00642609"/>
    <w:rsid w:val="0064265E"/>
    <w:rsid w:val="00646773"/>
    <w:rsid w:val="00651718"/>
    <w:rsid w:val="00651894"/>
    <w:rsid w:val="00653680"/>
    <w:rsid w:val="006570E4"/>
    <w:rsid w:val="00657438"/>
    <w:rsid w:val="00657446"/>
    <w:rsid w:val="00657A95"/>
    <w:rsid w:val="00660DD7"/>
    <w:rsid w:val="006611FD"/>
    <w:rsid w:val="006678CE"/>
    <w:rsid w:val="00667EF9"/>
    <w:rsid w:val="00670187"/>
    <w:rsid w:val="0067406E"/>
    <w:rsid w:val="00674408"/>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6D53"/>
    <w:rsid w:val="006D3D5C"/>
    <w:rsid w:val="006D49EB"/>
    <w:rsid w:val="006D612A"/>
    <w:rsid w:val="006D6780"/>
    <w:rsid w:val="006D735E"/>
    <w:rsid w:val="006E0CA4"/>
    <w:rsid w:val="006E1B93"/>
    <w:rsid w:val="006E2BCE"/>
    <w:rsid w:val="006E37B7"/>
    <w:rsid w:val="006E5090"/>
    <w:rsid w:val="006E5B26"/>
    <w:rsid w:val="006E6915"/>
    <w:rsid w:val="006F375E"/>
    <w:rsid w:val="006F7417"/>
    <w:rsid w:val="0070125B"/>
    <w:rsid w:val="00701F91"/>
    <w:rsid w:val="007026B4"/>
    <w:rsid w:val="007046E0"/>
    <w:rsid w:val="00705B27"/>
    <w:rsid w:val="0071284D"/>
    <w:rsid w:val="00715B2F"/>
    <w:rsid w:val="00722357"/>
    <w:rsid w:val="007306A5"/>
    <w:rsid w:val="00732BC8"/>
    <w:rsid w:val="0074084B"/>
    <w:rsid w:val="00742893"/>
    <w:rsid w:val="0074398E"/>
    <w:rsid w:val="007442E7"/>
    <w:rsid w:val="00747819"/>
    <w:rsid w:val="00750EF0"/>
    <w:rsid w:val="007538E1"/>
    <w:rsid w:val="007559B1"/>
    <w:rsid w:val="00755F4E"/>
    <w:rsid w:val="007562FA"/>
    <w:rsid w:val="0075739C"/>
    <w:rsid w:val="00757913"/>
    <w:rsid w:val="007613EA"/>
    <w:rsid w:val="00761DB4"/>
    <w:rsid w:val="0076464C"/>
    <w:rsid w:val="0076663E"/>
    <w:rsid w:val="00770D33"/>
    <w:rsid w:val="007722C1"/>
    <w:rsid w:val="007750FA"/>
    <w:rsid w:val="00775417"/>
    <w:rsid w:val="00776A66"/>
    <w:rsid w:val="00776A9E"/>
    <w:rsid w:val="007800B0"/>
    <w:rsid w:val="00780A87"/>
    <w:rsid w:val="00793DAF"/>
    <w:rsid w:val="00794061"/>
    <w:rsid w:val="00795398"/>
    <w:rsid w:val="00795EB4"/>
    <w:rsid w:val="007A09B6"/>
    <w:rsid w:val="007A54FA"/>
    <w:rsid w:val="007A77A5"/>
    <w:rsid w:val="007A7868"/>
    <w:rsid w:val="007B11F2"/>
    <w:rsid w:val="007B3486"/>
    <w:rsid w:val="007B40B0"/>
    <w:rsid w:val="007B451E"/>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5024"/>
    <w:rsid w:val="00856D51"/>
    <w:rsid w:val="00862CA1"/>
    <w:rsid w:val="00864C6C"/>
    <w:rsid w:val="0086503C"/>
    <w:rsid w:val="00865B14"/>
    <w:rsid w:val="00865F8A"/>
    <w:rsid w:val="008666A0"/>
    <w:rsid w:val="00866EEB"/>
    <w:rsid w:val="00875B97"/>
    <w:rsid w:val="008775CC"/>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C2"/>
    <w:rsid w:val="008E23BA"/>
    <w:rsid w:val="008E38F1"/>
    <w:rsid w:val="008E6E57"/>
    <w:rsid w:val="008E793C"/>
    <w:rsid w:val="008F1E32"/>
    <w:rsid w:val="008F41E5"/>
    <w:rsid w:val="008F6058"/>
    <w:rsid w:val="008F7F44"/>
    <w:rsid w:val="00902ADD"/>
    <w:rsid w:val="009078D4"/>
    <w:rsid w:val="00912776"/>
    <w:rsid w:val="00913436"/>
    <w:rsid w:val="00915C6B"/>
    <w:rsid w:val="0092031A"/>
    <w:rsid w:val="0092126F"/>
    <w:rsid w:val="009219D7"/>
    <w:rsid w:val="00921E7A"/>
    <w:rsid w:val="0092368E"/>
    <w:rsid w:val="00927896"/>
    <w:rsid w:val="00927DC0"/>
    <w:rsid w:val="00931A34"/>
    <w:rsid w:val="0093290B"/>
    <w:rsid w:val="00932FC8"/>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4A7B"/>
    <w:rsid w:val="009874FC"/>
    <w:rsid w:val="009878AE"/>
    <w:rsid w:val="00990601"/>
    <w:rsid w:val="009924FC"/>
    <w:rsid w:val="00992AB2"/>
    <w:rsid w:val="009939FA"/>
    <w:rsid w:val="009A3B69"/>
    <w:rsid w:val="009B0869"/>
    <w:rsid w:val="009B0B08"/>
    <w:rsid w:val="009B2301"/>
    <w:rsid w:val="009B49D3"/>
    <w:rsid w:val="009B77CD"/>
    <w:rsid w:val="009C0E85"/>
    <w:rsid w:val="009C5264"/>
    <w:rsid w:val="009C5B8C"/>
    <w:rsid w:val="009C6600"/>
    <w:rsid w:val="009C7A56"/>
    <w:rsid w:val="009D00BF"/>
    <w:rsid w:val="009D15CB"/>
    <w:rsid w:val="009D4AA0"/>
    <w:rsid w:val="009E020E"/>
    <w:rsid w:val="009E2E48"/>
    <w:rsid w:val="009E4561"/>
    <w:rsid w:val="009E7C7E"/>
    <w:rsid w:val="009F2A9A"/>
    <w:rsid w:val="009F408C"/>
    <w:rsid w:val="009F71E2"/>
    <w:rsid w:val="00A000E1"/>
    <w:rsid w:val="00A03692"/>
    <w:rsid w:val="00A0376E"/>
    <w:rsid w:val="00A03BE5"/>
    <w:rsid w:val="00A058F1"/>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51CE"/>
    <w:rsid w:val="00A36CCD"/>
    <w:rsid w:val="00A36E77"/>
    <w:rsid w:val="00A40003"/>
    <w:rsid w:val="00A403AF"/>
    <w:rsid w:val="00A40758"/>
    <w:rsid w:val="00A44E97"/>
    <w:rsid w:val="00A44ECD"/>
    <w:rsid w:val="00A46862"/>
    <w:rsid w:val="00A51684"/>
    <w:rsid w:val="00A54A70"/>
    <w:rsid w:val="00A54F06"/>
    <w:rsid w:val="00A57227"/>
    <w:rsid w:val="00A606CF"/>
    <w:rsid w:val="00A608D4"/>
    <w:rsid w:val="00A62555"/>
    <w:rsid w:val="00A633FA"/>
    <w:rsid w:val="00A6460F"/>
    <w:rsid w:val="00A64BE5"/>
    <w:rsid w:val="00A64FF3"/>
    <w:rsid w:val="00A65CF8"/>
    <w:rsid w:val="00A700C4"/>
    <w:rsid w:val="00A76DE0"/>
    <w:rsid w:val="00A916A3"/>
    <w:rsid w:val="00A9524A"/>
    <w:rsid w:val="00A95570"/>
    <w:rsid w:val="00A95E2B"/>
    <w:rsid w:val="00A968E0"/>
    <w:rsid w:val="00A97437"/>
    <w:rsid w:val="00AA0660"/>
    <w:rsid w:val="00AA1107"/>
    <w:rsid w:val="00AA2CE4"/>
    <w:rsid w:val="00AA3E3C"/>
    <w:rsid w:val="00AA4578"/>
    <w:rsid w:val="00AA59D9"/>
    <w:rsid w:val="00AA6DD3"/>
    <w:rsid w:val="00AA717B"/>
    <w:rsid w:val="00AB1424"/>
    <w:rsid w:val="00AB226E"/>
    <w:rsid w:val="00AB2FAE"/>
    <w:rsid w:val="00AB4385"/>
    <w:rsid w:val="00AB4C33"/>
    <w:rsid w:val="00AB5803"/>
    <w:rsid w:val="00AB70A7"/>
    <w:rsid w:val="00AB70BC"/>
    <w:rsid w:val="00AC0F84"/>
    <w:rsid w:val="00AC5D79"/>
    <w:rsid w:val="00AC60A2"/>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4C2B"/>
    <w:rsid w:val="00AE566B"/>
    <w:rsid w:val="00AE5C1C"/>
    <w:rsid w:val="00AF0487"/>
    <w:rsid w:val="00AF36B6"/>
    <w:rsid w:val="00AF38D3"/>
    <w:rsid w:val="00B02D1B"/>
    <w:rsid w:val="00B03C2A"/>
    <w:rsid w:val="00B05A37"/>
    <w:rsid w:val="00B05B20"/>
    <w:rsid w:val="00B05C16"/>
    <w:rsid w:val="00B079FD"/>
    <w:rsid w:val="00B10F37"/>
    <w:rsid w:val="00B1197E"/>
    <w:rsid w:val="00B12393"/>
    <w:rsid w:val="00B15FFB"/>
    <w:rsid w:val="00B16057"/>
    <w:rsid w:val="00B233D5"/>
    <w:rsid w:val="00B25986"/>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66C56"/>
    <w:rsid w:val="00B75BEC"/>
    <w:rsid w:val="00B77A1D"/>
    <w:rsid w:val="00B801E0"/>
    <w:rsid w:val="00B8527E"/>
    <w:rsid w:val="00B867A7"/>
    <w:rsid w:val="00B87E02"/>
    <w:rsid w:val="00B94B1B"/>
    <w:rsid w:val="00B971FD"/>
    <w:rsid w:val="00B9757A"/>
    <w:rsid w:val="00BA000D"/>
    <w:rsid w:val="00BA1C37"/>
    <w:rsid w:val="00BA5315"/>
    <w:rsid w:val="00BA68E9"/>
    <w:rsid w:val="00BA6CE3"/>
    <w:rsid w:val="00BA700B"/>
    <w:rsid w:val="00BB11CE"/>
    <w:rsid w:val="00BB2FFB"/>
    <w:rsid w:val="00BB3C95"/>
    <w:rsid w:val="00BB4520"/>
    <w:rsid w:val="00BB5CA6"/>
    <w:rsid w:val="00BB698E"/>
    <w:rsid w:val="00BB6A55"/>
    <w:rsid w:val="00BB7550"/>
    <w:rsid w:val="00BC3CF0"/>
    <w:rsid w:val="00BC5D95"/>
    <w:rsid w:val="00BC5E1E"/>
    <w:rsid w:val="00BD28D7"/>
    <w:rsid w:val="00BD3A2A"/>
    <w:rsid w:val="00BD53C4"/>
    <w:rsid w:val="00BD56F7"/>
    <w:rsid w:val="00BD5D56"/>
    <w:rsid w:val="00BE3597"/>
    <w:rsid w:val="00BE493E"/>
    <w:rsid w:val="00BE6972"/>
    <w:rsid w:val="00BF0FD3"/>
    <w:rsid w:val="00BF1575"/>
    <w:rsid w:val="00BF2481"/>
    <w:rsid w:val="00BF43A8"/>
    <w:rsid w:val="00BF5734"/>
    <w:rsid w:val="00BF75E4"/>
    <w:rsid w:val="00C02CB9"/>
    <w:rsid w:val="00C03A9A"/>
    <w:rsid w:val="00C041B6"/>
    <w:rsid w:val="00C0501F"/>
    <w:rsid w:val="00C05245"/>
    <w:rsid w:val="00C102AD"/>
    <w:rsid w:val="00C11D47"/>
    <w:rsid w:val="00C2273E"/>
    <w:rsid w:val="00C227C0"/>
    <w:rsid w:val="00C35A77"/>
    <w:rsid w:val="00C40024"/>
    <w:rsid w:val="00C4046E"/>
    <w:rsid w:val="00C4153F"/>
    <w:rsid w:val="00C41F13"/>
    <w:rsid w:val="00C41FE9"/>
    <w:rsid w:val="00C42229"/>
    <w:rsid w:val="00C438FC"/>
    <w:rsid w:val="00C45655"/>
    <w:rsid w:val="00C45A34"/>
    <w:rsid w:val="00C463A8"/>
    <w:rsid w:val="00C50BCD"/>
    <w:rsid w:val="00C53655"/>
    <w:rsid w:val="00C5439A"/>
    <w:rsid w:val="00C610BE"/>
    <w:rsid w:val="00C6352F"/>
    <w:rsid w:val="00C63CD9"/>
    <w:rsid w:val="00C6459E"/>
    <w:rsid w:val="00C65F51"/>
    <w:rsid w:val="00C6610E"/>
    <w:rsid w:val="00C672F0"/>
    <w:rsid w:val="00C70E19"/>
    <w:rsid w:val="00C72E1E"/>
    <w:rsid w:val="00C7310E"/>
    <w:rsid w:val="00C75268"/>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65A6"/>
    <w:rsid w:val="00CC73AB"/>
    <w:rsid w:val="00CC7CF8"/>
    <w:rsid w:val="00CD2E08"/>
    <w:rsid w:val="00CE04E9"/>
    <w:rsid w:val="00CE0B07"/>
    <w:rsid w:val="00CE2240"/>
    <w:rsid w:val="00CE703C"/>
    <w:rsid w:val="00CE78B1"/>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47B4"/>
    <w:rsid w:val="00D46F0B"/>
    <w:rsid w:val="00D51D14"/>
    <w:rsid w:val="00D5278E"/>
    <w:rsid w:val="00D53148"/>
    <w:rsid w:val="00D54808"/>
    <w:rsid w:val="00D6094B"/>
    <w:rsid w:val="00D6229D"/>
    <w:rsid w:val="00D633A1"/>
    <w:rsid w:val="00D6415D"/>
    <w:rsid w:val="00D6480E"/>
    <w:rsid w:val="00D65EBE"/>
    <w:rsid w:val="00D6606D"/>
    <w:rsid w:val="00D66151"/>
    <w:rsid w:val="00D6629B"/>
    <w:rsid w:val="00D71C9E"/>
    <w:rsid w:val="00D75BC8"/>
    <w:rsid w:val="00D75C24"/>
    <w:rsid w:val="00D75CCE"/>
    <w:rsid w:val="00D849EF"/>
    <w:rsid w:val="00D860BE"/>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E76ED"/>
    <w:rsid w:val="00DF0DC4"/>
    <w:rsid w:val="00DF1ACD"/>
    <w:rsid w:val="00DF2549"/>
    <w:rsid w:val="00DF37DF"/>
    <w:rsid w:val="00DF3CBC"/>
    <w:rsid w:val="00DF603B"/>
    <w:rsid w:val="00E0563C"/>
    <w:rsid w:val="00E06FDA"/>
    <w:rsid w:val="00E110B1"/>
    <w:rsid w:val="00E12A1C"/>
    <w:rsid w:val="00E17318"/>
    <w:rsid w:val="00E20F62"/>
    <w:rsid w:val="00E21798"/>
    <w:rsid w:val="00E22452"/>
    <w:rsid w:val="00E231A3"/>
    <w:rsid w:val="00E237AF"/>
    <w:rsid w:val="00E23D34"/>
    <w:rsid w:val="00E2686F"/>
    <w:rsid w:val="00E27FE2"/>
    <w:rsid w:val="00E30492"/>
    <w:rsid w:val="00E33DB1"/>
    <w:rsid w:val="00E35E0A"/>
    <w:rsid w:val="00E368AE"/>
    <w:rsid w:val="00E40EF8"/>
    <w:rsid w:val="00E440F8"/>
    <w:rsid w:val="00E51225"/>
    <w:rsid w:val="00E538C3"/>
    <w:rsid w:val="00E54990"/>
    <w:rsid w:val="00E60692"/>
    <w:rsid w:val="00E66E36"/>
    <w:rsid w:val="00E67A8C"/>
    <w:rsid w:val="00E73118"/>
    <w:rsid w:val="00E757AA"/>
    <w:rsid w:val="00E82657"/>
    <w:rsid w:val="00E82A87"/>
    <w:rsid w:val="00E8761B"/>
    <w:rsid w:val="00E87DBE"/>
    <w:rsid w:val="00E87DE9"/>
    <w:rsid w:val="00E900A0"/>
    <w:rsid w:val="00E91BAA"/>
    <w:rsid w:val="00E95059"/>
    <w:rsid w:val="00E95818"/>
    <w:rsid w:val="00E95E39"/>
    <w:rsid w:val="00E96F53"/>
    <w:rsid w:val="00E9726D"/>
    <w:rsid w:val="00EA360B"/>
    <w:rsid w:val="00EA4398"/>
    <w:rsid w:val="00EA5B68"/>
    <w:rsid w:val="00EA69F9"/>
    <w:rsid w:val="00EA77BF"/>
    <w:rsid w:val="00EA7A8E"/>
    <w:rsid w:val="00EB0659"/>
    <w:rsid w:val="00EB2462"/>
    <w:rsid w:val="00EB3BAD"/>
    <w:rsid w:val="00EB3D2E"/>
    <w:rsid w:val="00EB58EB"/>
    <w:rsid w:val="00EB5BF3"/>
    <w:rsid w:val="00EC152D"/>
    <w:rsid w:val="00EC1AEA"/>
    <w:rsid w:val="00EC1AF9"/>
    <w:rsid w:val="00EC4EA6"/>
    <w:rsid w:val="00EC5888"/>
    <w:rsid w:val="00EC604B"/>
    <w:rsid w:val="00EC6172"/>
    <w:rsid w:val="00ED0565"/>
    <w:rsid w:val="00ED0E6A"/>
    <w:rsid w:val="00ED26CB"/>
    <w:rsid w:val="00ED3B2E"/>
    <w:rsid w:val="00ED43EE"/>
    <w:rsid w:val="00ED445A"/>
    <w:rsid w:val="00ED4E4F"/>
    <w:rsid w:val="00ED5650"/>
    <w:rsid w:val="00ED5CBA"/>
    <w:rsid w:val="00ED5E9F"/>
    <w:rsid w:val="00ED7586"/>
    <w:rsid w:val="00EE5769"/>
    <w:rsid w:val="00EE58AC"/>
    <w:rsid w:val="00EE5B35"/>
    <w:rsid w:val="00EF2770"/>
    <w:rsid w:val="00EF3B2B"/>
    <w:rsid w:val="00EF45F5"/>
    <w:rsid w:val="00EF51C2"/>
    <w:rsid w:val="00EF6398"/>
    <w:rsid w:val="00EF724C"/>
    <w:rsid w:val="00EF7891"/>
    <w:rsid w:val="00F0102F"/>
    <w:rsid w:val="00F0125D"/>
    <w:rsid w:val="00F01AAD"/>
    <w:rsid w:val="00F01F4B"/>
    <w:rsid w:val="00F0205C"/>
    <w:rsid w:val="00F055EB"/>
    <w:rsid w:val="00F06AC1"/>
    <w:rsid w:val="00F07F31"/>
    <w:rsid w:val="00F13332"/>
    <w:rsid w:val="00F145ED"/>
    <w:rsid w:val="00F157C9"/>
    <w:rsid w:val="00F205E5"/>
    <w:rsid w:val="00F2528E"/>
    <w:rsid w:val="00F25C9D"/>
    <w:rsid w:val="00F2725B"/>
    <w:rsid w:val="00F30045"/>
    <w:rsid w:val="00F31091"/>
    <w:rsid w:val="00F311CE"/>
    <w:rsid w:val="00F31444"/>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1945"/>
    <w:rsid w:val="00F6206F"/>
    <w:rsid w:val="00F63D73"/>
    <w:rsid w:val="00F64ACF"/>
    <w:rsid w:val="00F65D87"/>
    <w:rsid w:val="00F67B98"/>
    <w:rsid w:val="00F7064D"/>
    <w:rsid w:val="00F74D67"/>
    <w:rsid w:val="00F80C6D"/>
    <w:rsid w:val="00F85046"/>
    <w:rsid w:val="00F91B3B"/>
    <w:rsid w:val="00F94B95"/>
    <w:rsid w:val="00F958B5"/>
    <w:rsid w:val="00F967E2"/>
    <w:rsid w:val="00FA210C"/>
    <w:rsid w:val="00FA35A4"/>
    <w:rsid w:val="00FB2F11"/>
    <w:rsid w:val="00FB31EA"/>
    <w:rsid w:val="00FB464E"/>
    <w:rsid w:val="00FB6934"/>
    <w:rsid w:val="00FB6C16"/>
    <w:rsid w:val="00FC121A"/>
    <w:rsid w:val="00FC5C09"/>
    <w:rsid w:val="00FC5C97"/>
    <w:rsid w:val="00FC7DB3"/>
    <w:rsid w:val="00FD3057"/>
    <w:rsid w:val="00FD3C93"/>
    <w:rsid w:val="00FD5F9C"/>
    <w:rsid w:val="00FE0D12"/>
    <w:rsid w:val="00FE5480"/>
    <w:rsid w:val="00FE6D54"/>
    <w:rsid w:val="00FE71DF"/>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5A6EA-CF09-4AF2-8CDB-3163544A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797"/>
  </w:style>
  <w:style w:type="paragraph" w:styleId="Heading1">
    <w:name w:val="heading 1"/>
    <w:basedOn w:val="Heading2"/>
    <w:next w:val="BodyText"/>
    <w:link w:val="Heading1Char"/>
    <w:qFormat/>
    <w:rsid w:val="004549B5"/>
    <w:pPr>
      <w:spacing w:before="0"/>
      <w:outlineLvl w:val="0"/>
    </w:pPr>
    <w:rPr>
      <w:sz w:val="32"/>
    </w:rPr>
  </w:style>
  <w:style w:type="paragraph" w:styleId="Heading2">
    <w:name w:val="heading 2"/>
    <w:basedOn w:val="BodyText"/>
    <w:next w:val="BodyText"/>
    <w:link w:val="Heading2Char"/>
    <w:autoRedefine/>
    <w:qFormat/>
    <w:rsid w:val="00E35E0A"/>
    <w:pPr>
      <w:keepNext/>
      <w:tabs>
        <w:tab w:val="left" w:pos="567"/>
      </w:tabs>
      <w:spacing w:before="360" w:after="140" w:line="276" w:lineRule="auto"/>
      <w:jc w:val="left"/>
      <w:outlineLvl w:val="1"/>
    </w:pPr>
    <w:rPr>
      <w:rFonts w:ascii="Times New Roman" w:hAnsi="Times New Roman" w:cs="Times New Roman"/>
      <w:color w:val="000000" w:themeColor="text1"/>
      <w:sz w:val="24"/>
    </w:rPr>
  </w:style>
  <w:style w:type="paragraph" w:styleId="Heading3">
    <w:name w:val="heading 3"/>
    <w:basedOn w:val="Heading4"/>
    <w:next w:val="BodyText"/>
    <w:link w:val="Heading3Char"/>
    <w:qFormat/>
    <w:rsid w:val="004549B5"/>
    <w:pPr>
      <w:numPr>
        <w:ilvl w:val="2"/>
      </w:numPr>
      <w:tabs>
        <w:tab w:val="clear" w:pos="568"/>
        <w:tab w:val="num" w:pos="0"/>
      </w:tabs>
      <w:ind w:left="0"/>
      <w:outlineLvl w:val="2"/>
    </w:pPr>
    <w:rPr>
      <w:i w:val="0"/>
    </w:rPr>
  </w:style>
  <w:style w:type="paragraph" w:styleId="Heading4">
    <w:name w:val="heading 4"/>
    <w:basedOn w:val="Heading5"/>
    <w:next w:val="BodyText"/>
    <w:link w:val="Heading4Char"/>
    <w:qFormat/>
    <w:rsid w:val="004549B5"/>
    <w:pPr>
      <w:numPr>
        <w:ilvl w:val="3"/>
      </w:numPr>
      <w:tabs>
        <w:tab w:val="clear" w:pos="360"/>
        <w:tab w:val="num" w:pos="0"/>
      </w:tabs>
      <w:ind w:left="0"/>
      <w:outlineLvl w:val="3"/>
    </w:pPr>
    <w:rPr>
      <w:b/>
    </w:rPr>
  </w:style>
  <w:style w:type="paragraph" w:styleId="Heading5">
    <w:name w:val="heading 5"/>
    <w:basedOn w:val="BodyText"/>
    <w:next w:val="BodyText"/>
    <w:link w:val="Heading5Char"/>
    <w:qFormat/>
    <w:rsid w:val="004549B5"/>
    <w:pPr>
      <w:keepNext/>
      <w:numPr>
        <w:ilvl w:val="4"/>
        <w:numId w:val="1"/>
      </w:numPr>
      <w:tabs>
        <w:tab w:val="left" w:pos="0"/>
      </w:tabs>
      <w:spacing w:before="260" w:after="140"/>
      <w:outlineLvl w:val="4"/>
    </w:pPr>
    <w:rPr>
      <w:i/>
    </w:rPr>
  </w:style>
  <w:style w:type="paragraph" w:styleId="Heading6">
    <w:name w:val="heading 6"/>
    <w:basedOn w:val="Normal"/>
    <w:next w:val="Normal"/>
    <w:link w:val="Heading6Char"/>
    <w:qFormat/>
    <w:rsid w:val="004549B5"/>
    <w:pPr>
      <w:numPr>
        <w:ilvl w:val="5"/>
        <w:numId w:val="1"/>
      </w:numPr>
      <w:tabs>
        <w:tab w:val="left" w:pos="1123"/>
        <w:tab w:val="right" w:pos="2841"/>
        <w:tab w:val="right" w:pos="4343"/>
        <w:tab w:val="right" w:pos="5840"/>
        <w:tab w:val="right" w:pos="7343"/>
        <w:tab w:val="right" w:pos="8505"/>
      </w:tabs>
      <w:suppressAutoHyphens/>
      <w:overflowPunct w:val="0"/>
      <w:autoSpaceDE w:val="0"/>
      <w:spacing w:after="120" w:line="240" w:lineRule="auto"/>
      <w:jc w:val="both"/>
      <w:textAlignment w:val="baseline"/>
      <w:outlineLvl w:val="5"/>
    </w:pPr>
    <w:rPr>
      <w:rFonts w:ascii="Tahoma" w:eastAsia="Times New Roman" w:hAnsi="Tahoma" w:cs="Tms Rmn"/>
      <w:szCs w:val="20"/>
      <w:lang w:val="en-GB" w:eastAsia="ar-SA"/>
    </w:rPr>
  </w:style>
  <w:style w:type="paragraph" w:styleId="Heading7">
    <w:name w:val="heading 7"/>
    <w:basedOn w:val="Normal"/>
    <w:next w:val="Normal"/>
    <w:link w:val="Heading7Char"/>
    <w:qFormat/>
    <w:rsid w:val="004549B5"/>
    <w:pPr>
      <w:numPr>
        <w:ilvl w:val="6"/>
        <w:numId w:val="1"/>
      </w:numPr>
      <w:tabs>
        <w:tab w:val="left" w:pos="1123"/>
        <w:tab w:val="right" w:pos="2841"/>
        <w:tab w:val="right" w:pos="4343"/>
        <w:tab w:val="right" w:pos="5840"/>
        <w:tab w:val="right" w:pos="7343"/>
        <w:tab w:val="right" w:pos="8505"/>
      </w:tabs>
      <w:suppressAutoHyphens/>
      <w:overflowPunct w:val="0"/>
      <w:autoSpaceDE w:val="0"/>
      <w:spacing w:after="120" w:line="240" w:lineRule="auto"/>
      <w:jc w:val="both"/>
      <w:textAlignment w:val="baseline"/>
      <w:outlineLvl w:val="6"/>
    </w:pPr>
    <w:rPr>
      <w:rFonts w:ascii="Tahoma" w:eastAsia="Times New Roman" w:hAnsi="Tahoma" w:cs="Tms Rmn"/>
      <w:szCs w:val="20"/>
      <w:lang w:val="en-GB" w:eastAsia="ar-SA"/>
    </w:rPr>
  </w:style>
  <w:style w:type="paragraph" w:styleId="Heading8">
    <w:name w:val="heading 8"/>
    <w:basedOn w:val="Normal"/>
    <w:next w:val="Normal"/>
    <w:link w:val="Heading8Char"/>
    <w:qFormat/>
    <w:rsid w:val="004549B5"/>
    <w:pPr>
      <w:numPr>
        <w:ilvl w:val="7"/>
        <w:numId w:val="1"/>
      </w:numPr>
      <w:tabs>
        <w:tab w:val="left" w:pos="1123"/>
        <w:tab w:val="right" w:pos="2841"/>
        <w:tab w:val="right" w:pos="4343"/>
        <w:tab w:val="right" w:pos="5840"/>
        <w:tab w:val="right" w:pos="7343"/>
        <w:tab w:val="right" w:pos="8505"/>
      </w:tabs>
      <w:suppressAutoHyphens/>
      <w:overflowPunct w:val="0"/>
      <w:autoSpaceDE w:val="0"/>
      <w:spacing w:after="120" w:line="240" w:lineRule="auto"/>
      <w:jc w:val="both"/>
      <w:textAlignment w:val="baseline"/>
      <w:outlineLvl w:val="7"/>
    </w:pPr>
    <w:rPr>
      <w:rFonts w:ascii="Tahoma" w:eastAsia="Times New Roman" w:hAnsi="Tahoma" w:cs="Tms Rmn"/>
      <w:szCs w:val="20"/>
      <w:lang w:val="en-GB" w:eastAsia="ar-SA"/>
    </w:rPr>
  </w:style>
  <w:style w:type="paragraph" w:styleId="Heading9">
    <w:name w:val="heading 9"/>
    <w:basedOn w:val="Normal"/>
    <w:next w:val="Normal"/>
    <w:link w:val="Heading9Char"/>
    <w:qFormat/>
    <w:rsid w:val="004549B5"/>
    <w:pPr>
      <w:numPr>
        <w:ilvl w:val="8"/>
        <w:numId w:val="1"/>
      </w:numPr>
      <w:tabs>
        <w:tab w:val="left" w:pos="1123"/>
        <w:tab w:val="right" w:pos="2841"/>
        <w:tab w:val="right" w:pos="4343"/>
        <w:tab w:val="right" w:pos="5840"/>
        <w:tab w:val="right" w:pos="7343"/>
        <w:tab w:val="right" w:pos="8505"/>
      </w:tabs>
      <w:suppressAutoHyphens/>
      <w:overflowPunct w:val="0"/>
      <w:autoSpaceDE w:val="0"/>
      <w:spacing w:after="120" w:line="240" w:lineRule="auto"/>
      <w:jc w:val="both"/>
      <w:textAlignment w:val="baseline"/>
      <w:outlineLvl w:val="8"/>
    </w:pPr>
    <w:rPr>
      <w:rFonts w:ascii="Tahoma" w:eastAsia="Times New Roman" w:hAnsi="Tahoma" w:cs="Tms Rmn"/>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9B5"/>
    <w:rPr>
      <w:rFonts w:ascii="Tahoma" w:eastAsia="Times New Roman" w:hAnsi="Tahoma" w:cs="Tms Rmn"/>
      <w:b/>
      <w:color w:val="000000" w:themeColor="text1"/>
      <w:sz w:val="32"/>
      <w:szCs w:val="24"/>
      <w:lang w:val="en-GB" w:eastAsia="ar-SA"/>
    </w:rPr>
  </w:style>
  <w:style w:type="character" w:customStyle="1" w:styleId="Heading2Char">
    <w:name w:val="Heading 2 Char"/>
    <w:basedOn w:val="DefaultParagraphFont"/>
    <w:link w:val="Heading2"/>
    <w:rsid w:val="00E35E0A"/>
    <w:rPr>
      <w:rFonts w:ascii="Times New Roman" w:eastAsia="Times New Roman" w:hAnsi="Times New Roman" w:cs="Times New Roman"/>
      <w:color w:val="000000" w:themeColor="text1"/>
      <w:sz w:val="24"/>
      <w:szCs w:val="24"/>
      <w:lang w:val="en-GB" w:eastAsia="ar-SA"/>
    </w:rPr>
  </w:style>
  <w:style w:type="character" w:customStyle="1" w:styleId="Heading3Char">
    <w:name w:val="Heading 3 Char"/>
    <w:basedOn w:val="DefaultParagraphFont"/>
    <w:link w:val="Heading3"/>
    <w:rsid w:val="004549B5"/>
    <w:rPr>
      <w:rFonts w:ascii="Tahoma" w:eastAsia="Times New Roman" w:hAnsi="Tahoma" w:cs="Tms Rmn"/>
      <w:b/>
      <w:color w:val="000000"/>
      <w:szCs w:val="24"/>
      <w:lang w:val="en-GB" w:eastAsia="ar-SA"/>
    </w:rPr>
  </w:style>
  <w:style w:type="character" w:customStyle="1" w:styleId="Heading4Char">
    <w:name w:val="Heading 4 Char"/>
    <w:basedOn w:val="DefaultParagraphFont"/>
    <w:link w:val="Heading4"/>
    <w:rsid w:val="004549B5"/>
    <w:rPr>
      <w:rFonts w:ascii="Tahoma" w:eastAsia="Times New Roman" w:hAnsi="Tahoma" w:cs="Tms Rmn"/>
      <w:b/>
      <w:i/>
      <w:color w:val="000000"/>
      <w:szCs w:val="24"/>
      <w:lang w:val="en-GB" w:eastAsia="ar-SA"/>
    </w:rPr>
  </w:style>
  <w:style w:type="character" w:customStyle="1" w:styleId="Heading5Char">
    <w:name w:val="Heading 5 Char"/>
    <w:basedOn w:val="DefaultParagraphFont"/>
    <w:link w:val="Heading5"/>
    <w:rsid w:val="004549B5"/>
    <w:rPr>
      <w:rFonts w:ascii="Tahoma" w:eastAsia="Times New Roman" w:hAnsi="Tahoma" w:cs="Tms Rmn"/>
      <w:i/>
      <w:color w:val="000000"/>
      <w:szCs w:val="24"/>
      <w:lang w:val="en-GB" w:eastAsia="ar-SA"/>
    </w:rPr>
  </w:style>
  <w:style w:type="character" w:customStyle="1" w:styleId="Heading6Char">
    <w:name w:val="Heading 6 Char"/>
    <w:basedOn w:val="DefaultParagraphFont"/>
    <w:link w:val="Heading6"/>
    <w:rsid w:val="004549B5"/>
    <w:rPr>
      <w:rFonts w:ascii="Tahoma" w:eastAsia="Times New Roman" w:hAnsi="Tahoma" w:cs="Tms Rmn"/>
      <w:szCs w:val="20"/>
      <w:lang w:val="en-GB" w:eastAsia="ar-SA"/>
    </w:rPr>
  </w:style>
  <w:style w:type="character" w:customStyle="1" w:styleId="Heading7Char">
    <w:name w:val="Heading 7 Char"/>
    <w:basedOn w:val="DefaultParagraphFont"/>
    <w:link w:val="Heading7"/>
    <w:rsid w:val="004549B5"/>
    <w:rPr>
      <w:rFonts w:ascii="Tahoma" w:eastAsia="Times New Roman" w:hAnsi="Tahoma" w:cs="Tms Rmn"/>
      <w:szCs w:val="20"/>
      <w:lang w:val="en-GB" w:eastAsia="ar-SA"/>
    </w:rPr>
  </w:style>
  <w:style w:type="character" w:customStyle="1" w:styleId="Heading8Char">
    <w:name w:val="Heading 8 Char"/>
    <w:basedOn w:val="DefaultParagraphFont"/>
    <w:link w:val="Heading8"/>
    <w:rsid w:val="004549B5"/>
    <w:rPr>
      <w:rFonts w:ascii="Tahoma" w:eastAsia="Times New Roman" w:hAnsi="Tahoma" w:cs="Tms Rmn"/>
      <w:szCs w:val="20"/>
      <w:lang w:val="en-GB" w:eastAsia="ar-SA"/>
    </w:rPr>
  </w:style>
  <w:style w:type="character" w:customStyle="1" w:styleId="Heading9Char">
    <w:name w:val="Heading 9 Char"/>
    <w:basedOn w:val="DefaultParagraphFont"/>
    <w:link w:val="Heading9"/>
    <w:rsid w:val="004549B5"/>
    <w:rPr>
      <w:rFonts w:ascii="Tahoma" w:eastAsia="Times New Roman" w:hAnsi="Tahoma" w:cs="Tms Rmn"/>
      <w:szCs w:val="20"/>
      <w:lang w:val="en-GB" w:eastAsia="ar-SA"/>
    </w:rPr>
  </w:style>
  <w:style w:type="paragraph" w:styleId="BodyText">
    <w:name w:val="Body Text"/>
    <w:basedOn w:val="Normal"/>
    <w:link w:val="BodyTextChar"/>
    <w:semiHidden/>
    <w:rsid w:val="004549B5"/>
    <w:pPr>
      <w:tabs>
        <w:tab w:val="left" w:pos="1123"/>
        <w:tab w:val="right" w:pos="2841"/>
        <w:tab w:val="right" w:pos="4343"/>
        <w:tab w:val="right" w:pos="5840"/>
        <w:tab w:val="right" w:pos="7343"/>
        <w:tab w:val="right" w:pos="8505"/>
      </w:tabs>
      <w:suppressAutoHyphens/>
      <w:overflowPunct w:val="0"/>
      <w:autoSpaceDE w:val="0"/>
      <w:spacing w:after="120" w:line="240" w:lineRule="auto"/>
      <w:jc w:val="both"/>
      <w:textAlignment w:val="baseline"/>
    </w:pPr>
    <w:rPr>
      <w:rFonts w:ascii="Tahoma" w:eastAsia="Times New Roman" w:hAnsi="Tahoma" w:cs="Tms Rmn"/>
      <w:color w:val="000000"/>
      <w:szCs w:val="24"/>
      <w:lang w:val="en-GB" w:eastAsia="ar-SA"/>
    </w:rPr>
  </w:style>
  <w:style w:type="character" w:customStyle="1" w:styleId="BodyTextChar">
    <w:name w:val="Body Text Char"/>
    <w:basedOn w:val="DefaultParagraphFont"/>
    <w:link w:val="BodyText"/>
    <w:semiHidden/>
    <w:rsid w:val="004549B5"/>
    <w:rPr>
      <w:rFonts w:ascii="Tahoma" w:eastAsia="Times New Roman" w:hAnsi="Tahoma" w:cs="Tms Rmn"/>
      <w:color w:val="000000"/>
      <w:szCs w:val="24"/>
      <w:lang w:val="en-GB" w:eastAsia="ar-SA"/>
    </w:rPr>
  </w:style>
  <w:style w:type="paragraph" w:styleId="BalloonText">
    <w:name w:val="Balloon Text"/>
    <w:basedOn w:val="Normal"/>
    <w:link w:val="BalloonTextChar"/>
    <w:uiPriority w:val="99"/>
    <w:semiHidden/>
    <w:unhideWhenUsed/>
    <w:rsid w:val="00AB4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85"/>
    <w:rPr>
      <w:rFonts w:ascii="Tahoma" w:hAnsi="Tahoma" w:cs="Tahoma"/>
      <w:sz w:val="16"/>
      <w:szCs w:val="16"/>
    </w:rPr>
  </w:style>
  <w:style w:type="character" w:styleId="Hyperlink">
    <w:name w:val="Hyperlink"/>
    <w:basedOn w:val="DefaultParagraphFont"/>
    <w:uiPriority w:val="99"/>
    <w:rsid w:val="00177D52"/>
    <w:rPr>
      <w:color w:val="0000FF"/>
      <w:u w:val="single"/>
    </w:rPr>
  </w:style>
  <w:style w:type="character" w:styleId="FootnoteReference">
    <w:name w:val="footnote reference"/>
    <w:semiHidden/>
    <w:rsid w:val="00177D52"/>
    <w:rPr>
      <w:vertAlign w:val="superscript"/>
    </w:rPr>
  </w:style>
  <w:style w:type="paragraph" w:styleId="FootnoteText">
    <w:name w:val="footnote text"/>
    <w:basedOn w:val="Normal"/>
    <w:link w:val="FootnoteTextChar"/>
    <w:semiHidden/>
    <w:rsid w:val="00177D52"/>
    <w:pPr>
      <w:tabs>
        <w:tab w:val="left" w:pos="1123"/>
        <w:tab w:val="left" w:pos="1690"/>
        <w:tab w:val="right" w:pos="2841"/>
        <w:tab w:val="right" w:pos="3408"/>
        <w:tab w:val="right" w:pos="3975"/>
        <w:tab w:val="right" w:pos="4343"/>
        <w:tab w:val="right" w:pos="4910"/>
        <w:tab w:val="right" w:pos="5477"/>
        <w:tab w:val="right" w:pos="5840"/>
        <w:tab w:val="right" w:pos="6407"/>
        <w:tab w:val="right" w:pos="6974"/>
        <w:tab w:val="right" w:pos="7343"/>
        <w:tab w:val="right" w:pos="7910"/>
        <w:tab w:val="right" w:pos="8477"/>
        <w:tab w:val="right" w:pos="8505"/>
        <w:tab w:val="right" w:pos="9072"/>
        <w:tab w:val="right" w:pos="9639"/>
      </w:tabs>
      <w:suppressAutoHyphens/>
      <w:overflowPunct w:val="0"/>
      <w:autoSpaceDE w:val="0"/>
      <w:spacing w:after="120" w:line="240" w:lineRule="auto"/>
      <w:ind w:left="567" w:hanging="567"/>
      <w:jc w:val="both"/>
      <w:textAlignment w:val="baseline"/>
    </w:pPr>
    <w:rPr>
      <w:rFonts w:ascii="Tahoma" w:eastAsia="Times New Roman" w:hAnsi="Tahoma" w:cs="Tms Rmn"/>
      <w:sz w:val="18"/>
      <w:szCs w:val="20"/>
      <w:lang w:val="en-GB" w:eastAsia="ar-SA"/>
    </w:rPr>
  </w:style>
  <w:style w:type="character" w:customStyle="1" w:styleId="FootnoteTextChar">
    <w:name w:val="Footnote Text Char"/>
    <w:basedOn w:val="DefaultParagraphFont"/>
    <w:link w:val="FootnoteText"/>
    <w:semiHidden/>
    <w:rsid w:val="00177D52"/>
    <w:rPr>
      <w:rFonts w:ascii="Tahoma" w:eastAsia="Times New Roman" w:hAnsi="Tahoma" w:cs="Tms Rmn"/>
      <w:sz w:val="18"/>
      <w:szCs w:val="20"/>
      <w:lang w:val="en-GB" w:eastAsia="ar-SA"/>
    </w:rPr>
  </w:style>
  <w:style w:type="paragraph" w:styleId="Header">
    <w:name w:val="header"/>
    <w:basedOn w:val="Normal"/>
    <w:link w:val="HeaderChar"/>
    <w:uiPriority w:val="99"/>
    <w:semiHidden/>
    <w:unhideWhenUsed/>
    <w:rsid w:val="000915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560"/>
  </w:style>
  <w:style w:type="paragraph" w:styleId="Footer">
    <w:name w:val="footer"/>
    <w:basedOn w:val="Normal"/>
    <w:link w:val="FooterChar"/>
    <w:uiPriority w:val="99"/>
    <w:unhideWhenUsed/>
    <w:rsid w:val="0009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60"/>
  </w:style>
  <w:style w:type="paragraph" w:styleId="ListParagraph">
    <w:name w:val="List Paragraph"/>
    <w:basedOn w:val="Normal"/>
    <w:uiPriority w:val="34"/>
    <w:qFormat/>
    <w:rsid w:val="0026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hjertqvist@healthpowerhouse.com" TargetMode="External"/><Relationship Id="rId5" Type="http://schemas.openxmlformats.org/officeDocument/2006/relationships/footnotes" Target="footnotes.xml"/><Relationship Id="rId10" Type="http://schemas.openxmlformats.org/officeDocument/2006/relationships/hyperlink" Target="mailto:arne.bjornberg@healthpowerhouse.com" TargetMode="External"/><Relationship Id="rId4" Type="http://schemas.openxmlformats.org/officeDocument/2006/relationships/webSettings" Target="webSettings.xml"/><Relationship Id="rId9" Type="http://schemas.openxmlformats.org/officeDocument/2006/relationships/hyperlink" Target="http://www.healthpowerhou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5339</Characters>
  <Application>Microsoft Office Word</Application>
  <DocSecurity>0</DocSecurity>
  <Lines>44</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Arne Bjornberg</cp:lastModifiedBy>
  <cp:revision>2</cp:revision>
  <dcterms:created xsi:type="dcterms:W3CDTF">2016-01-27T20:57:00Z</dcterms:created>
  <dcterms:modified xsi:type="dcterms:W3CDTF">2016-01-27T20:57:00Z</dcterms:modified>
</cp:coreProperties>
</file>